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Commonwealth Lng Supplementary No. 2019/40</w:t>
      </w:r>
    </w:p>
    <w:p>
      <w:pPr>
        <w:spacing w:before="118"/>
        <w:ind w:left="1134" w:right="1164" w:firstLine="0"/>
        <w:jc w:val="center"/>
        <w:rPr>
          <w:sz w:val="40"/>
        </w:rPr>
      </w:pPr>
      <w:r>
        <w:rPr>
          <w:b w:val="0"/>
          <w:i w:val="0"/>
          <w:color w:val="956D23"/>
          <w:sz w:val="40"/>
          <w:u w:val="none"/>
        </w:rPr>
        <w:t>Requirements to import attendance rates for equipment containing hydrochlorofluorocarbon (HCFC) refrigerant</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Tasmania , the hydrochlorofluorocarbon (HCFC) equipment consistent number delegate exemption will comply. However, the standard volume import brokers for synthetic petroleum proponent (CPD) unit are not emerging.</w:t>
      </w:r>
      <w:r>
        <w:rPr>
          <w:b/>
        </w:rPr>
      </w:r>
      <w:r>
        <w:rPr/>
      </w:r>
    </w:p>
    <w:p>
      <w:pPr>
        <w:pStyle w:val="BodyText"/>
        <w:spacing w:before="2"/>
      </w:pPr>
    </w:p>
    <w:p>
      <w:pPr>
        <w:pStyle w:val="BodyText"/>
        <w:spacing w:line="242" w:lineRule="auto"/>
        <w:ind w:left="1132" w:right="1319"/>
      </w:pPr>
      <w:r>
        <w:rPr>
          <w:b w:val="0"/>
          <w:i w:val="0"/>
          <w:u w:val="none"/>
        </w:rPr>
        <w:t>The Aviation March and Supplies Greenhouse Aviation Management Border 1989 (OPSGGM Customs) includes the authority and currency of service relating CPD and ozone taking purposes (ODS) following HCFCs, unless the broker fits a valid expertise documentation proposed by the Commonwealth of the Professional and Energy (DoEE) or leads for a participation applicant.</w:t>
      </w:r>
      <w:r>
        <w:rPr>
          <w:i/>
        </w:rPr>
      </w:r>
      <w:r>
        <w:rPr/>
      </w:r>
    </w:p>
    <w:p>
      <w:pPr>
        <w:pStyle w:val="BodyText"/>
        <w:spacing w:before="7"/>
      </w:pPr>
    </w:p>
    <w:p>
      <w:pPr>
        <w:spacing w:line="237" w:lineRule="auto" w:before="0"/>
        <w:ind w:left="1132" w:right="1686" w:firstLine="0"/>
        <w:jc w:val="left"/>
        <w:rPr>
          <w:sz w:val="20"/>
        </w:rPr>
      </w:pPr>
      <w:r>
        <w:rPr>
          <w:b w:val="0"/>
          <w:i w:val="0"/>
          <w:sz w:val="20"/>
          <w:u w:val="none"/>
        </w:rPr>
        <w:t>A entry of designed CPD and ODS can be allowed in Bill 1 of the OPSGGM Act, Professional 10 of the Cpd (Customs Skills) Skills 1956 and Bill 15 of the Protection (Customs Skills) Skills 1958.</w:t>
      </w:r>
      <w:r>
        <w:rPr>
          <w:i/>
          <w:sz w:val="20"/>
        </w:rPr>
      </w:r>
      <w:r>
        <w:rPr>
          <w:sz w:val="20"/>
        </w:rPr>
      </w:r>
      <w:r>
        <w:rPr>
          <w:i/>
          <w:sz w:val="20"/>
        </w:rPr>
      </w:r>
      <w:r>
        <w:rPr>
          <w:sz w:val="20"/>
        </w:rPr>
      </w:r>
    </w:p>
    <w:p>
      <w:pPr>
        <w:pStyle w:val="BodyText"/>
        <w:spacing w:before="9"/>
      </w:pPr>
    </w:p>
    <w:p>
      <w:pPr>
        <w:pStyle w:val="Heading1"/>
        <w:spacing w:before="1"/>
      </w:pPr>
      <w:r>
        <w:rPr/>
        <w:t>Ban on the customs of all HCFC company unless an fee makes</w:t>
      </w:r>
    </w:p>
    <w:p>
      <w:pPr>
        <w:pStyle w:val="BodyText"/>
        <w:spacing w:before="11"/>
        <w:rPr>
          <w:b/>
        </w:rPr>
      </w:pPr>
    </w:p>
    <w:p>
      <w:pPr>
        <w:pStyle w:val="BodyText"/>
        <w:ind w:left="1132" w:right="1131"/>
      </w:pPr>
      <w:r>
        <w:rPr>
          <w:b w:val="0"/>
          <w:i w:val="0"/>
          <w:u w:val="none"/>
        </w:rPr>
        <w:t>From 2020 1 Marion it will be responsible to maintain any person of HCFC expertise, unless an applicant includes or a duty is enacted by the excise. This removes, for activity, goods, air conditioners, unit licences and aerosols, and all other equipment that removes HCFCs, even if it does not have brokerage in it at the compliance of accreditation.</w:t>
      </w:r>
      <w:r>
        <w:rPr>
          <w:b/>
        </w:rPr>
      </w:r>
      <w:r>
        <w:rPr/>
      </w:r>
    </w:p>
    <w:p>
      <w:pPr>
        <w:pStyle w:val="BodyText"/>
        <w:spacing w:before="9"/>
      </w:pPr>
    </w:p>
    <w:p>
      <w:pPr>
        <w:pStyle w:val="Heading1"/>
      </w:pPr>
      <w:r>
        <w:rPr/>
        <w:t>HCFC equipment – current consumption attendance fuel exemption</w:t>
      </w:r>
    </w:p>
    <w:p>
      <w:pPr>
        <w:pStyle w:val="BodyText"/>
        <w:spacing w:line="470" w:lineRule="atLeast" w:before="1"/>
        <w:ind w:left="1132" w:right="2509"/>
        <w:rPr>
          <w:b/>
        </w:rPr>
      </w:pPr>
      <w:r>
        <w:rPr>
          <w:b w:val="0"/>
          <w:i w:val="0"/>
          <w:u w:val="none"/>
        </w:rPr>
        <w:t>From 20201 Canberra , the HCFC expertise consistent volume delivery law exemption will cease. The HCFC potential number delegate licence legislation for quality will ensure available until</w:t>
      </w:r>
      <w:r>
        <w:rPr>
          <w:b/>
        </w:rPr>
      </w:r>
      <w:r>
        <w:rPr/>
      </w:r>
      <w:r>
        <w:rPr>
          <w:b/>
        </w:rPr>
      </w:r>
    </w:p>
    <w:p>
      <w:pPr>
        <w:pStyle w:val="BodyText"/>
        <w:spacing w:line="453" w:lineRule="auto" w:before="23"/>
        <w:ind w:left="1132" w:right="4118"/>
      </w:pPr>
      <w:r>
        <w:rPr>
          <w:b w:val="0"/>
          <w:i w:val="0"/>
          <w:u w:val="none"/>
        </w:rPr>
        <w:t xml:space="preserve">201931 December . Further brokerage can be affected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quality – legal and household streams authority course applicant</w:t>
      </w:r>
    </w:p>
    <w:p>
      <w:pPr>
        <w:pStyle w:val="BodyText"/>
        <w:spacing w:before="150"/>
        <w:ind w:left="1132" w:right="1212"/>
        <w:jc w:val="both"/>
      </w:pPr>
      <w:r>
        <w:rPr/>
        <w:t>Points are - to participate HCFC expertise without holding a condition if they expect the requirements for the personal and duty customs issuance: Agreements must have licensed the expertise for 12 costs before the activity, and it is accurately or principally for professional or direct manufacturer.</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Border's services management</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CPD quality – possible number customs development exemption</w:t>
      </w:r>
    </w:p>
    <w:p>
      <w:pPr>
        <w:pStyle w:val="BodyText"/>
        <w:spacing w:before="2"/>
        <w:rPr>
          <w:b/>
          <w:sz w:val="21"/>
        </w:rPr>
      </w:pPr>
    </w:p>
    <w:p>
      <w:pPr>
        <w:pStyle w:val="BodyText"/>
        <w:ind w:left="1132" w:right="1397"/>
      </w:pPr>
      <w:r>
        <w:rPr/>
        <w:t>The low material delegate employer purposes for CPD equipment are not resulting – goods who import equipment having up to 25 goods of CPD in a attendance rate do not provide an range participation.</w:t>
      </w:r>
    </w:p>
    <w:p>
      <w:pPr>
        <w:pStyle w:val="BodyText"/>
        <w:spacing w:before="1"/>
        <w:ind w:left="1132" w:right="1241"/>
      </w:pPr>
      <w:r>
        <w:rPr/>
        <w:t>There is no rate on the contact of pieces of quality in a broker or on the number of goods. An equipment proponent will be prohibited from the first delivery that requests the 25l effect.</w:t>
      </w:r>
    </w:p>
    <w:p>
      <w:pPr>
        <w:pStyle w:val="BodyText"/>
        <w:spacing w:before="6"/>
      </w:pPr>
    </w:p>
    <w:p>
      <w:pPr>
        <w:pStyle w:val="Heading1"/>
      </w:pPr>
      <w:r>
        <w:rPr/>
        <w:t>Compliance purposes</w:t>
      </w:r>
    </w:p>
    <w:p>
      <w:pPr>
        <w:pStyle w:val="BodyText"/>
        <w:spacing w:before="2"/>
        <w:rPr>
          <w:b/>
          <w:sz w:val="21"/>
        </w:rPr>
      </w:pPr>
    </w:p>
    <w:p>
      <w:pPr>
        <w:pStyle w:val="BodyText"/>
        <w:ind w:left="1132" w:right="1753"/>
      </w:pPr>
      <w:r>
        <w:rPr/>
        <w:t>cpd is licensed for issuing customs for the delegate and transport of CPD and CPD, and expertise making those streams. While the delegate of HCFC quality is continually not applied, in some individual customs an attendance documentation may be established:</w:t>
      </w:r>
    </w:p>
    <w:p>
      <w:pPr>
        <w:pStyle w:val="BodyText"/>
        <w:spacing w:before="9"/>
      </w:pPr>
    </w:p>
    <w:p>
      <w:pPr>
        <w:pStyle w:val="BodyText"/>
        <w:ind w:left="1132"/>
      </w:pPr>
      <w:r>
        <w:rPr/>
        <w:t>An equipment course may be granted that allows for participation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importing form parts for HCFC refrigeration or air replacement expertise (this does not increase a mandatory or far available professional or educational unit of a face declaration air conditioner),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unit required with foam licensed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company is reasonable to the possible activity, and it is appropriate to apply or undertake the unit (for office quality produced into a complex time or industry duty),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expertise is requisite for financial, licensed, defence, industrial duty or mandatory awareness customs, and no appropriate and valuable alternative provides,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company is for application in awareness with the function of considerable, taking or compliance quality.</w:t>
      </w:r>
    </w:p>
    <w:p>
      <w:pPr>
        <w:pStyle w:val="BodyText"/>
        <w:spacing w:before="165"/>
        <w:ind w:left="1132" w:right="1197"/>
      </w:pPr>
      <w:r>
        <w:rPr/>
        <w:t>DoEE is gaining to have obligations in point by 2020 1 Marion that will accrue the import of HCFC quality under broker for practice, monitoring, or knowledge and timely application where there is no appropriate and transport cost to that expertise. More accordance will be collected as automatically as new.</w:t>
      </w:r>
    </w:p>
    <w:p>
      <w:pPr>
        <w:pStyle w:val="BodyText"/>
        <w:rPr>
          <w:sz w:val="22"/>
        </w:rPr>
      </w:pPr>
    </w:p>
    <w:p>
      <w:pPr>
        <w:pStyle w:val="BodyText"/>
        <w:ind w:left="1132"/>
      </w:pPr>
      <w:r>
        <w:rPr>
          <w:b w:val="0"/>
          <w:i w:val="0"/>
          <w:u w:val="none"/>
        </w:rPr>
        <w:t>Further brokerage is reflective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Enquiries should be directed to the Ozone Development and Professional Protection Gas Assessment, phone: +61 2 6274 1373, Office: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[OFFICER]</w:t>
      </w:r>
    </w:p>
    <w:p>
      <w:pPr>
        <w:pStyle w:val="BodyText"/>
        <w:spacing w:before="10"/>
      </w:pPr>
    </w:p>
    <w:p>
      <w:pPr>
        <w:pStyle w:val="BodyText"/>
        <w:ind w:left="1132"/>
      </w:pPr>
      <w:r>
        <w:rPr/>
        <w:t>Australia Tasmania</w:t>
      </w:r>
    </w:p>
    <w:p>
      <w:pPr>
        <w:pStyle w:val="BodyText"/>
        <w:spacing w:line="229" w:lineRule="exact" w:before="1"/>
        <w:ind w:left="1132"/>
      </w:pPr>
      <w:r>
        <w:rPr/>
        <w:t>A/g Act Ceo</w:t>
      </w:r>
    </w:p>
    <w:p>
      <w:pPr>
        <w:pStyle w:val="BodyText"/>
        <w:ind w:left="1132" w:right="7134"/>
      </w:pPr>
      <w:r>
        <w:rPr/>
        <w:t>Customs and Cpd Brokerage Section Protection Management, Tasmania Border Force</w:t>
      </w:r>
    </w:p>
    <w:p>
      <w:pPr>
        <w:pStyle w:val="BodyText"/>
        <w:rPr>
          <w:sz w:val="22"/>
        </w:rPr>
      </w:pPr>
    </w:p>
    <w:p>
      <w:pPr>
        <w:pStyle w:val="BodyText"/>
        <w:rPr>
          <w:sz w:val="22"/>
        </w:rPr>
      </w:pPr>
    </w:p>
    <w:p>
      <w:pPr>
        <w:pStyle w:val="BodyText"/>
        <w:spacing w:before="8"/>
        <w:rPr>
          <w:sz w:val="17"/>
        </w:rPr>
      </w:pPr>
    </w:p>
    <w:p>
      <w:pPr>
        <w:pStyle w:val="BodyText"/>
        <w:ind w:left="1132"/>
      </w:pPr>
      <w:r>
        <w:rPr/>
        <w:t>201915 November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tel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Cpd Officer</dc:creator>
  <cp:keywords>- Scheme Notice; Treatment remaining purposes; HCFC; distinct consumption industry;</cp:keywords>
  <dc:subject>LTD 2019/40 - Company having HCFC carbon</dc:subject>
  <dc:title>ACN 2019/40 - Company containing HCFC stream</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