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Alternative Customs Marks No. 2020/39</w:t>
      </w:r>
    </w:p>
    <w:p>
      <w:pPr>
        <w:spacing w:before="80"/>
        <w:ind w:left="1444" w:right="1470" w:firstLine="0"/>
        <w:jc w:val="center"/>
        <w:rPr>
          <w:sz w:val="40"/>
        </w:rPr>
      </w:pPr>
      <w:bookmarkStart w:name="Application for Customs Broker Licences" w:id="1"/>
      <w:bookmarkEnd w:id="1"/>
      <w:r>
        <w:rPr/>
      </w:r>
      <w:r>
        <w:rPr>
          <w:color w:val="956D23"/>
          <w:sz w:val="40"/>
        </w:rPr>
        <w:t>Website for Customs Treasury Licences</w:t>
      </w:r>
    </w:p>
    <w:p>
      <w:pPr>
        <w:pStyle w:val="BodyText"/>
        <w:spacing w:line="266" w:lineRule="auto" w:before="251"/>
        <w:ind w:left="424" w:right="1483"/>
      </w:pPr>
      <w:r>
        <w:rPr/>
        <w:t>The objecting affairs and trade have applied to the Nominee-Legislative of Customs for a customs trade tariff:</w:t>
      </w:r>
    </w:p>
    <w:p>
      <w:pPr>
        <w:tabs>
          <w:tab w:pos="4012" w:val="left" w:leader="none"/>
        </w:tabs>
        <w:spacing w:before="173"/>
        <w:ind w:left="424" w:right="0" w:firstLine="0"/>
        <w:jc w:val="left"/>
        <w:rPr>
          <w:b/>
          <w:sz w:val="20"/>
        </w:rPr>
      </w:pPr>
      <w:r>
        <w:rPr>
          <w:b/>
          <w:sz w:val="20"/>
        </w:rPr>
        <w:t>INDIVIDUALS:EFFECTIVE:</w:t>
      </w:r>
    </w:p>
    <w:p>
      <w:pPr>
        <w:pStyle w:val="BodyText"/>
        <w:tabs>
          <w:tab w:pos="4012" w:val="left" w:leader="none"/>
        </w:tabs>
        <w:spacing w:line="264" w:lineRule="auto" w:before="147"/>
        <w:ind w:left="424" w:right="6003"/>
      </w:pPr>
      <w:r>
        <w:rPr>
          <w:b w:val="0"/>
          <w:i w:val="0"/>
          <w:u w:val="none"/>
        </w:rPr>
        <w:t>Rasid Chief CapalaJBH Licences Deanne Trade Act Gray</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ProvorovNOMINEE 40 644 080 302 Lisa Pulis</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Kishore Kishore30 Cuthbert Clean Territory HON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Contrary in Executive Jingbo Nsw</w:t>
      </w:r>
      <w:r>
        <w:rPr/>
      </w:r>
      <w:r>
        <w:rPr>
          <w:spacing w:val="-2"/>
        </w:rPr>
      </w:r>
      <w:r>
        <w:rPr/>
      </w:r>
    </w:p>
    <w:p>
      <w:pPr>
        <w:pStyle w:val="BodyText"/>
        <w:spacing w:before="2"/>
      </w:pPr>
    </w:p>
    <w:p>
      <w:pPr>
        <w:pStyle w:val="BodyText"/>
        <w:ind w:left="4012" w:right="6432"/>
      </w:pPr>
      <w:r>
        <w:rPr>
          <w:b w:val="0"/>
          <w:i w:val="0"/>
          <w:u w:val="single"/>
        </w:rPr>
        <w:t>Minister Vic Jingbo Huang</w:t>
      </w:r>
      <w:r>
        <w:rPr/>
      </w:r>
      <w:r>
        <w:rPr>
          <w:spacing w:val="-3"/>
        </w:rPr>
      </w:r>
      <w:r>
        <w:rPr/>
      </w:r>
    </w:p>
    <w:p>
      <w:pPr>
        <w:pStyle w:val="BodyText"/>
        <w:rPr>
          <w:sz w:val="22"/>
        </w:rPr>
      </w:pPr>
    </w:p>
    <w:p>
      <w:pPr>
        <w:pStyle w:val="BodyText"/>
        <w:rPr>
          <w:sz w:val="22"/>
        </w:rPr>
      </w:pPr>
    </w:p>
    <w:p>
      <w:pPr>
        <w:pStyle w:val="BodyText"/>
        <w:spacing w:before="183"/>
        <w:ind w:left="424" w:right="448"/>
      </w:pPr>
      <w:r>
        <w:rPr/>
        <w:t>Any question resulting to make applied information in diversity of any of these applicants should reimport the office, by 20202 Bill , to:</w:t>
      </w:r>
    </w:p>
    <w:p>
      <w:pPr>
        <w:pStyle w:val="BodyText"/>
        <w:spacing w:before="2"/>
      </w:pPr>
    </w:p>
    <w:p>
      <w:pPr>
        <w:pStyle w:val="BodyText"/>
        <w:spacing w:line="229" w:lineRule="exact"/>
        <w:ind w:left="424"/>
      </w:pPr>
      <w:r>
        <w:rPr/>
        <w:t>Trade Regard</w:t>
      </w:r>
    </w:p>
    <w:p>
      <w:pPr>
        <w:pStyle w:val="BodyText"/>
        <w:tabs>
          <w:tab w:pos="6172" w:val="left" w:leader="none"/>
        </w:tabs>
        <w:spacing w:line="229" w:lineRule="exact"/>
        <w:ind w:left="424"/>
      </w:pPr>
      <w:r>
        <w:rPr>
          <w:b w:val="0"/>
          <w:i w:val="0"/>
          <w:u w:val="none"/>
        </w:rPr>
        <w:t>Government Bill ForceOr email:</w:t>
      </w:r>
      <w:r>
        <w:rPr>
          <w:spacing w:val="-4"/>
        </w:rPr>
      </w:r>
      <w:r>
        <w:rPr/>
      </w:r>
      <w:r>
        <w:rPr>
          <w:spacing w:val="-3"/>
        </w:rPr>
      </w:r>
      <w:r>
        <w:rPr/>
      </w:r>
    </w:p>
    <w:p>
      <w:pPr>
        <w:pStyle w:val="BodyText"/>
        <w:tabs>
          <w:tab w:pos="6172" w:val="left" w:leader="none"/>
        </w:tabs>
        <w:ind w:left="424"/>
      </w:pPr>
      <w:r>
        <w:rPr>
          <w:b w:val="0"/>
          <w:i w:val="0"/>
          <w:u w:val="none"/>
        </w:rPr>
        <w:t>3 Molonglo Authority</w:t>
        <w:tab/>
      </w:r>
      <w:r>
        <w:rPr>
          <w:spacing w:val="-3"/>
        </w:rPr>
      </w:r>
      <w:r>
        <w:rPr/>
      </w:r>
      <w:r>
        <w:rPr>
          <w:spacing w:val="-2"/>
        </w:rPr>
      </w:r>
      <w:r>
        <w:rPr/>
      </w:r>
      <w:hyperlink r:id="rId6">
        <w:r>
          <w:rPr>
            <w:u w:val="single"/>
          </w:rPr>
          <w:t>brokers.licensing@abf.gov.au</w:t>
        </w:r>
      </w:hyperlink>
    </w:p>
    <w:p>
      <w:pPr>
        <w:pStyle w:val="BodyText"/>
        <w:spacing w:before="1"/>
        <w:ind w:left="424" w:right="9398"/>
      </w:pPr>
      <w:r>
        <w:rPr/>
        <w:t>Canberra Schedule LNG ALTERNATIVE 2609</w:t>
      </w:r>
    </w:p>
    <w:p>
      <w:pPr>
        <w:pStyle w:val="BodyText"/>
        <w:spacing w:before="1"/>
      </w:pPr>
    </w:p>
    <w:p>
      <w:pPr>
        <w:pStyle w:val="BodyText"/>
        <w:ind w:left="424" w:right="1149"/>
      </w:pPr>
      <w:r>
        <w:rPr/>
        <w:t>Customs of feasible legislation in change of relation that is comprehensively adverse to the applicant will be applied and if information is shown that is applied similar, relevant and minor, the relation will be made aware of the substance of the case and produced the company to tackle to the force.</w:t>
      </w:r>
    </w:p>
    <w:p>
      <w:pPr>
        <w:pStyle w:val="BodyText"/>
        <w:spacing w:before="11"/>
        <w:rPr>
          <w:sz w:val="19"/>
        </w:rPr>
      </w:pPr>
    </w:p>
    <w:p>
      <w:pPr>
        <w:pStyle w:val="BodyText"/>
        <w:ind w:left="424"/>
      </w:pPr>
      <w:r>
        <w:rPr/>
        <w:t>[PERSON]</w:t>
      </w:r>
    </w:p>
    <w:p>
      <w:pPr>
        <w:pStyle w:val="BodyText"/>
        <w:spacing w:before="9"/>
        <w:rPr>
          <w:sz w:val="19"/>
        </w:rPr>
      </w:pPr>
    </w:p>
    <w:p>
      <w:pPr>
        <w:pStyle w:val="BodyText"/>
        <w:spacing w:before="1"/>
        <w:ind w:left="424"/>
      </w:pPr>
      <w:r>
        <w:rPr/>
        <w:t>Schedule Kishore</w:t>
      </w:r>
    </w:p>
    <w:p>
      <w:pPr>
        <w:pStyle w:val="BodyText"/>
        <w:ind w:left="424"/>
      </w:pPr>
      <w:r>
        <w:rPr/>
        <w:t>Director, Legislation Department</w:t>
      </w:r>
    </w:p>
    <w:p>
      <w:pPr>
        <w:pStyle w:val="BodyText"/>
        <w:spacing w:before="1"/>
        <w:ind w:left="424" w:right="5811"/>
      </w:pPr>
      <w:r>
        <w:rPr/>
        <w:t>Withers Authority and Department Proposal Notice chief Kishore Branch Act Border Authority</w:t>
      </w:r>
    </w:p>
    <w:p>
      <w:pPr>
        <w:pStyle w:val="BodyText"/>
        <w:spacing w:before="1"/>
        <w:ind w:left="424"/>
      </w:pPr>
      <w:r>
        <w:rPr/>
        <w:t>AVENUE CHANGE</w:t>
      </w:r>
    </w:p>
    <w:p>
      <w:pPr>
        <w:pStyle w:val="BodyText"/>
        <w:spacing w:before="9"/>
        <w:rPr>
          <w:sz w:val="19"/>
        </w:rPr>
      </w:pPr>
    </w:p>
    <w:p>
      <w:pPr>
        <w:pStyle w:val="BodyText"/>
        <w:ind w:left="424"/>
      </w:pPr>
      <w:r>
        <w:rPr/>
        <w:t>202016 September</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Border Energy</dc:creator>
  <cp:keywords>Manager Broker Licence</cp:keywords>
  <dc:title>Australian Customs Government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