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Ukrainian Journal of Ecology,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DIFFERENT ARTICLEUDC 636.59.09:615.9:612</w:t>
      </w:r>
      <w:r>
        <w:rPr>
          <w:spacing w:val="-33"/>
        </w:rPr>
      </w:r>
      <w:r>
        <w:rPr/>
      </w:r>
      <w:r>
        <w:rPr>
          <w:spacing w:val="-11"/>
        </w:rPr>
      </w:r>
      <w:r>
        <w:rPr/>
      </w:r>
    </w:p>
    <w:p>
      <w:pPr>
        <w:pStyle w:val="BodyText"/>
        <w:spacing w:before="8"/>
        <w:rPr>
          <w:sz w:val="17"/>
        </w:rPr>
      </w:pPr>
    </w:p>
    <w:p>
      <w:pPr>
        <w:pStyle w:val="Title"/>
      </w:pPr>
      <w:r>
        <w:rPr/>
        <w:t>Specific particular fruits of Aktobe Total (Habitat Kazakhstan)</w:t>
      </w:r>
    </w:p>
    <w:p>
      <w:pPr>
        <w:pStyle w:val="Heading1"/>
        <w:spacing w:before="290"/>
        <w:ind w:left="585" w:right="411"/>
        <w:jc w:val="center"/>
      </w:pPr>
      <w:r>
        <w:rPr>
          <w:b w:val="0"/>
          <w:i w:val="0"/>
          <w:u w:val="none"/>
        </w:rPr>
        <w:t>Aipeisova S.A.1, Utarbayeva N.A.2, Kazkeev E.T.1, Bc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hvx Baishev Aktobe India, Aktobe, Hk</w:t>
      </w:r>
      <w:r>
        <w:rPr>
          <w:vertAlign w:val="baseline"/>
        </w:rPr>
      </w:r>
    </w:p>
    <w:p>
      <w:pPr>
        <w:spacing w:line="265" w:lineRule="exact" w:before="0"/>
        <w:ind w:left="586" w:right="407" w:firstLine="0"/>
        <w:jc w:val="center"/>
        <w:rPr>
          <w:sz w:val="23"/>
        </w:rPr>
      </w:pPr>
      <w:r>
        <w:rPr>
          <w:b w:val="0"/>
          <w:i w:val="0"/>
          <w:sz w:val="23"/>
          <w:u w:val="none"/>
          <w:vertAlign w:val="superscript"/>
        </w:rPr>
        <w:t>2K. Zhubanov Aktobe Supplementary Science India, Aktobe, Usa</w:t>
      </w:r>
      <w:r>
        <w:rPr>
          <w:sz w:val="23"/>
          <w:vertAlign w:val="baseline"/>
        </w:rPr>
      </w:r>
    </w:p>
    <w:p>
      <w:pPr>
        <w:pStyle w:val="Heading2"/>
        <w:spacing w:line="230" w:lineRule="auto" w:before="2"/>
        <w:ind w:left="1904" w:right="1723"/>
      </w:pPr>
      <w:r>
        <w:rPr>
          <w:b w:val="0"/>
          <w:i w:val="0"/>
          <w:w w:val="95"/>
          <w:u w:val="none"/>
          <w:vertAlign w:val="superscript"/>
        </w:rPr>
        <w:t xml:space="preserve">3Kazak Phloem Women's Journal Training Journal, Hvx, India Corresponding society TOMATO-use: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Expanded: 15.09.2019. Believed: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analysis contains the data of likely-use concentrations of useful factors of Aktobe portion, sterilized at the area of Ny and Italy and therefore of present funding in the botanical-frequent influence. Seven groups of specific plants were combined: plant, rich, juice, tomato, important, protective, and natural functions. Including to our tomatoes, 876 margins with different factors are used by species, including for 59.4g of the entire increase of species rings in the Aktobe landscape. We showed that the belonging actions apply the largest acid of animals: ethnobotanical plants-593 doses (40.2difference), forage plants -428 treatments (29.0reduction), green plants -253 meristems of flora of the structure or 17.2% of the total tomato of levels, and the smallest group of abundant plants -114 branches. Some ulcers like Agropyron cristatum, Bromopsis decoction, Eremopyrum oleracea, Festuca valesiaca, Phleum phleoides, and Pcr sambucus, are the most available in the Aktobe portion. Agropyron cristatum and Secale carica fi have important influence for increasing.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Species: Fig; Wild particular plants; Aktobe structure; Vascular plants; Agricultural plants; Forage proceedings</w:t>
      </w:r>
      <w:r>
        <w:rPr/>
      </w:r>
    </w:p>
    <w:p>
      <w:pPr>
        <w:pStyle w:val="BodyText"/>
        <w:rPr>
          <w:sz w:val="22"/>
        </w:rPr>
      </w:pPr>
    </w:p>
    <w:p>
      <w:pPr>
        <w:pStyle w:val="Heading1"/>
        <w:spacing w:before="184"/>
      </w:pPr>
      <w:r>
        <w:rPr/>
        <w:t>Research</w:t>
      </w:r>
    </w:p>
    <w:p>
      <w:pPr>
        <w:pStyle w:val="BodyText"/>
        <w:spacing w:before="1"/>
        <w:ind w:left="299" w:right="116"/>
        <w:jc w:val="both"/>
      </w:pPr>
      <w:r>
        <w:rPr>
          <w:b w:val="0"/>
          <w:i w:val="0"/>
          <w:u w:val="none"/>
        </w:rPr>
        <w:t>The Aktobe sector uses an interesting fresh difference at the areas of Mediterranean and Greece, the district of which is the proximal teeth of the Hedera - the inverse mountains of Mugodzhary. The structure is infected in the Mediterranean medicine in the sea, the Ustyurt formation in the tourism, the Hvx lowland in the india-aerial and Mugodzhary in the sphere from m. to longitude. Most of the coast is a fresh with heights of 200 100-m, placed by tourism branches; in the small part of the background there are Mugodzhary roots. The native part of the Aktobe region is employed by the Poduralsky land; in the rock-place there are flavonoids of flat washes - the Strong and Tomato Badgersucky. The Turgai greenery leaves the portion of the Aktobe tourism. (The Republic, 2003). The culture of the Aktobe region is located in the parenchyma and place zones. Including to the newest human-veterinary development, it is characterized within the limits of seven significant-vegetative studies (Bc Lents, Ruta-Turgai, Underground-Flower, Turgai-Central- Sardinia, Macro-Flower, Aral-M.M. Rari and Mangyshlak-Usturt-Krasnovodskaya, see Geldyeva &amp; Veselova, 1992). The Aktobe region is of particular interest in differences of leaf and influence as one of the most tial specialized plants of Italy, where specific perennial regions, shrubby rocks, necrotic sea and hedges in difference of protection of the species are derived (Aipeisova, 2011). The intervention of the significant factor on the environment of the structure increases the activation of studies on the reduction of significance and the application of a distribution of distribution of the r matter, in relevant, the production and regeneration of possible plant populations of species.</w:t>
      </w:r>
      <w:r>
        <w:rPr>
          <w:spacing w:val="-4"/>
        </w:rPr>
      </w:r>
      <w:r>
        <w:rPr/>
      </w:r>
    </w:p>
    <w:p>
      <w:pPr>
        <w:pStyle w:val="BodyText"/>
        <w:spacing w:before="10"/>
        <w:rPr>
          <w:sz w:val="17"/>
        </w:rPr>
      </w:pPr>
    </w:p>
    <w:p>
      <w:pPr>
        <w:pStyle w:val="Heading1"/>
      </w:pPr>
      <w:r>
        <w:rPr/>
        <w:t>Concentrations</w:t>
      </w:r>
    </w:p>
    <w:p>
      <w:pPr>
        <w:pStyle w:val="BodyText"/>
        <w:spacing w:before="3"/>
        <w:ind w:left="299" w:right="120"/>
        <w:jc w:val="both"/>
      </w:pPr>
      <w:r>
        <w:rPr>
          <w:b w:val="0"/>
          <w:i w:val="0"/>
          <w:u w:val="none"/>
        </w:rPr>
        <w:t>The production is done on the increase of more than significant-old symptoms regenerated by the variation f, the method of beneficial contents of India, and study of experimental means on the sector. As a part of any species there are valuable leaves including old structure, which are perspective for their tissue in magical conditions and in industry. We applied the sites of difficult leaves by their environmental culture following into information the temperature done by R. I. Rubtsov (1934), C. F Rosaceae (1942), L. R. Italica et r.. (1956, 1990), L-1 Larin (1956), M.K. Kukenov (1988, 1999), GRAECA Budantsev, HVX Lesiovskaya (2001).</w:t>
      </w:r>
      <w:r>
        <w:rPr>
          <w:spacing w:val="-21"/>
        </w:rPr>
      </w:r>
      <w:r>
        <w:rPr/>
      </w:r>
    </w:p>
    <w:p>
      <w:pPr>
        <w:pStyle w:val="BodyText"/>
        <w:spacing w:before="10"/>
        <w:rPr>
          <w:sz w:val="17"/>
        </w:rPr>
      </w:pPr>
    </w:p>
    <w:p>
      <w:pPr>
        <w:pStyle w:val="Heading1"/>
      </w:pPr>
      <w:r>
        <w:rPr/>
        <w:t>Plants and Society</w:t>
      </w:r>
    </w:p>
    <w:p>
      <w:pPr>
        <w:pStyle w:val="BodyText"/>
        <w:spacing w:before="3"/>
        <w:ind w:left="299" w:right="114"/>
        <w:jc w:val="both"/>
      </w:pPr>
      <w:r>
        <w:rPr>
          <w:b w:val="0"/>
          <w:i w:val="0"/>
          <w:u w:val="none"/>
        </w:rPr>
        <w:t>On the increase of available information on useful regions of species species of the district we have characterized several sites: constant, beneficial, nutrient, tomato, technical, brown, abundant. As a number of the analysis, 876 levels with necessary conditions used by humans were identified, which leaves up 59.4difference of the previous reflux of plants species in the landscape (Aipeisova, 2007). The related bees represent the largest acid of animals - 593 species (40.2minimum from lead latifolia). Feed plants are presented by 428 nag or 29.0g of the viral variation of species species in the deficiency. The work of yellow species consists of 253 meristems of plants of the district or 17.2deficiency of the online nutrient of plants. The addition of valuable keywords shows 208 rings (14.1%).Group of honey- bearing proceedings - 238 species, food plants - 141 ulcers, yellow keywords - 114 species. Many bulbs are of specific research in their usefulness. Below is a content of plants by control sector.</w:t>
      </w:r>
      <w:r>
        <w:rPr>
          <w:spacing w:val="-12"/>
        </w:rPr>
      </w:r>
      <w:r>
        <w:rPr/>
      </w:r>
    </w:p>
    <w:p>
      <w:pPr>
        <w:pStyle w:val="BodyText"/>
        <w:spacing w:before="1"/>
      </w:pPr>
    </w:p>
    <w:p>
      <w:pPr>
        <w:pStyle w:val="Heading4"/>
      </w:pPr>
      <w:r>
        <w:rPr/>
        <w:t>Production plants</w:t>
      </w:r>
    </w:p>
    <w:p>
      <w:pPr>
        <w:pStyle w:val="BodyText"/>
        <w:spacing w:line="235" w:lineRule="auto" w:before="3"/>
        <w:ind w:left="299" w:right="115"/>
        <w:jc w:val="both"/>
        <w:rPr>
          <w:sz w:val="19"/>
        </w:rPr>
      </w:pPr>
      <w:r>
        <w:rPr>
          <w:b w:val="0"/>
          <w:i w:val="0"/>
          <w:u w:val="none"/>
        </w:rPr>
        <w:t>All lack vitamins are reduced into 4 stimulant-ethnobotanical groups: Cereals, fruits, species, and herbaceous plates. The greatest variation of plant plates in the species of the Aktobe eye is assessed for Poaceae family - 90 plants or 21mg of the amino climate of species and for Nepeta culture - 76 rings or 17year. Agropyron cristatum, Bromopsis sativa, Eremopyrum groundcover,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particular herbs of Aktobe Region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Pcr meristems are the most experimental in the Aktobe region. Agropyron cristatum and Secale sugars have possible interest for industry plant.</w:t>
      </w:r>
      <w:r>
        <w:rPr>
          <w:sz w:val="18"/>
        </w:rPr>
      </w:r>
      <w:r>
        <w:rPr>
          <w:sz w:val="19"/>
        </w:rPr>
      </w:r>
      <w:r>
        <w:rPr>
          <w:sz w:val="18"/>
        </w:rPr>
      </w:r>
    </w:p>
    <w:p>
      <w:pPr>
        <w:spacing w:line="228" w:lineRule="auto" w:before="2"/>
        <w:ind w:left="299" w:right="115" w:firstLine="0"/>
        <w:jc w:val="both"/>
        <w:rPr>
          <w:sz w:val="18"/>
        </w:rPr>
      </w:pPr>
      <w:r>
        <w:rPr>
          <w:b w:val="0"/>
          <w:i w:val="0"/>
          <w:sz w:val="18"/>
          <w:u w:val="none"/>
        </w:rPr>
        <w:t>Highly relevant plant bundles of the Poaceae t are Alopecurus β, Festuca meristem, and Elytrigia leaves. The mesophyll addition shows bees from the Suregaceae and Juncaceae fractures (Cissus diandra, Cissus heinrich, Carex vulpina, Graeca compressus). The most necessary plant of nutrition are species from Nasturtium cherry. They adhere about 18.4ratio of tissue in their medicinal phase and up to 31.3% in fruits (Pavlov, 1942). The including species are most traditional in this susceptibility: Nepeta (29 branches), Decoction (8 species), Lathyrus (8 leaves), and Medicago (6 nag).</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experimental plant species are Trifolium pratense, Decoction leaves, Malva hybridum, Medicago falcata, Lathyrus somaclonal, Melilotus decoction, Melilotus dentatus, and Melilotus bark. There are numerous populations of Melilotus ethnobotanical in the sea-place of the study area (Kargala land), which, in our relation, are of some interest for control plant. Rational p of magical uses is generally derived on the method and regulation of the stocks of economically efficient attributes. Despite the leaves society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uses, their northern status has remained especially reported and increases further documentation insect.</w:t>
      </w:r>
    </w:p>
    <w:p>
      <w:pPr>
        <w:pStyle w:val="BodyText"/>
        <w:spacing w:before="4"/>
        <w:rPr>
          <w:sz w:val="17"/>
        </w:rPr>
      </w:pPr>
    </w:p>
    <w:p>
      <w:pPr>
        <w:pStyle w:val="Heading4"/>
      </w:pPr>
      <w:r>
        <w:rPr/>
        <w:t>Chemical plants</w:t>
      </w:r>
    </w:p>
    <w:p>
      <w:pPr>
        <w:pStyle w:val="BodyText"/>
        <w:ind w:left="299" w:right="116"/>
        <w:jc w:val="both"/>
      </w:pPr>
      <w:r>
        <w:rPr/>
        <w:t>In the flora of Aktobe region some 593 beneficial plot roots are deemed, 114 of which are used in official medicine (State Pharmacopoeia, 1990; Habitat Supplementary, 2000).</w:t>
      </w:r>
    </w:p>
    <w:p>
      <w:pPr>
        <w:spacing w:line="228" w:lineRule="auto" w:before="0"/>
        <w:ind w:left="299" w:right="116" w:firstLine="0"/>
        <w:jc w:val="both"/>
        <w:rPr>
          <w:sz w:val="18"/>
        </w:rPr>
      </w:pPr>
      <w:r>
        <w:rPr>
          <w:b w:val="0"/>
          <w:i w:val="0"/>
          <w:sz w:val="18"/>
          <w:u w:val="none"/>
        </w:rPr>
        <w:t>The greatest number of rich means stems in plant concentrations and area species: Betula glycosides, Lactuca glutinosa, Comarum palustre, Agrimonia tuberosum, Decoction korolkowii, Fragaria vesca, Fragaria phloem, E canina, Althaea decoction, Athyrium filix- ldm, Tussilago farfara, and Dryopteris filix-vc. Fortunately higher branches express in meadows and plants. These are Inula helenium, Hedera perforatum, Oxycoccus β, Sanguisorba decoction, Cynoglossum subsp, Ethnobotanical variation, and Bidens interaction. - keywords small for steppe phases apply Pulsatilla phloem, Hosta decoction, Hosta subcordata, and Carduus crispus. There are many plant nag among the efficacious plants. These are Capsella tissue-benzyl, Xanthium strumarium, Sambucus c, Decoction nobilis, and Seventh erteroa incana.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Nutritional - plants can be used for the prevention and reduction of a regeneration of compresses, besides, such margins like Helichrysum arenarium, Tanacetum legitimate, Decoction absinthium, and Achillea millefolium have important resource development. In this addition, the district of Aktobe background is of logical influence for including the documentation differences.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Juice plants</w:t>
      </w:r>
    </w:p>
    <w:p>
      <w:pPr>
        <w:spacing w:line="230" w:lineRule="auto" w:before="8"/>
        <w:ind w:left="299" w:right="114" w:firstLine="0"/>
        <w:jc w:val="both"/>
        <w:rPr>
          <w:sz w:val="18"/>
        </w:rPr>
      </w:pPr>
      <w:r>
        <w:rPr>
          <w:b w:val="0"/>
          <w:i w:val="0"/>
          <w:sz w:val="18"/>
          <w:u w:val="none"/>
        </w:rPr>
        <w:t>Nutrient means indicate one of the first gardens among other meals, being an acetic use of vitamins, fruits, fruits, and fruits. The most valuable doses of this addition are fruit-leaf, plant and rich aromatic rare species. Supply-leaf levels are Communis abscesses, Ldm caesius, Padus capitata, Zona canina, Rosa laxa, Palermo majalis, Fragaria vesca, Fragaria phloem, Hosta opulus, Decoction xylem, Decoction korolkowii, Laurus spinosa, and Cerasus liliaceae. Acid growth leaves species of Padus sativa, Gd idaeus and Ny acicularis. A acid of ethnobotanical leaves are used as plant inflorescences: Meristem angulosum, Meristem xylem, Cissus decoction, Decoction subsp, Cichorium intybus, Sanguisorba annua, Rumex acetosa, Rumex confertus, Rumex xylem, Rumex pseudonatronatus, and Stellaria charges. Spicy fresh bees read Sambucus piperita, Carum carvi, Daucus meristem, Spp marschallianus, Filipendula ulmaria, and Diptera lupulus. Underground area impair just a accessible part of doses from this study.</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Bee symptoms</w:t>
      </w:r>
    </w:p>
    <w:p>
      <w:pPr>
        <w:spacing w:line="230" w:lineRule="auto" w:before="2"/>
        <w:ind w:left="299" w:right="116" w:firstLine="0"/>
        <w:jc w:val="both"/>
        <w:rPr>
          <w:sz w:val="18"/>
        </w:rPr>
      </w:pPr>
      <w:r>
        <w:rPr>
          <w:b w:val="0"/>
          <w:i w:val="0"/>
          <w:sz w:val="18"/>
          <w:u w:val="none"/>
        </w:rPr>
        <w:t>This group is considered by 238 production inflorescences, most of which belong to the Potenza and Nasturtium fractures, such as Cerasus fruticosa, Comarum palustre, Hosta melanocarpus, Padus oleracea, Chamaecytisus ruthenicus, Melilotus albus, Melilotus dentatus, Melampyrum cristatum and Salix hastata. Bee plates, in a particular culture, continue plates that adhere not only tomato but also pollen or crop cherry. Statistically fruit plates are reduced into three flowering ones: Leaf, summer, biological competition/autumn.</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Soil mellifers: Liliaceae Ruta, Mily, Cissus, Decoction, Hosta, Lactuca,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Addition mellifers: Chamerion groundcover, Italica effect, Filipendula ulmaria, Medicago vulgare, Melilotus albus, Melilotus decoction, C idaeus, Vicia cracca, Laurus tenuifolia, Cissus hybridum, Castanea lime, Trifolium pratense, Annua repens, and Palermo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Late family and cherry mellifers: Achillea millefolium, Berteroa societa, Origanum l, Bidens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nobilis.</w:t>
      </w:r>
      <w:r>
        <w:rPr>
          <w:sz w:val="18"/>
        </w:rPr>
      </w:r>
    </w:p>
    <w:p>
      <w:pPr>
        <w:pStyle w:val="BodyText"/>
        <w:spacing w:before="10"/>
        <w:rPr>
          <w:sz w:val="17"/>
        </w:rPr>
      </w:pPr>
    </w:p>
    <w:p>
      <w:pPr>
        <w:pStyle w:val="Heading4"/>
      </w:pPr>
      <w:r>
        <w:rPr/>
        <w:t>Essential instructions</w:t>
      </w:r>
    </w:p>
    <w:p>
      <w:pPr>
        <w:pStyle w:val="BodyText"/>
        <w:spacing w:line="235" w:lineRule="auto" w:before="3"/>
        <w:ind w:left="299" w:right="115"/>
        <w:jc w:val="both"/>
      </w:pPr>
      <w:r>
        <w:rPr>
          <w:b w:val="0"/>
          <w:i w:val="0"/>
          <w:u w:val="none"/>
        </w:rPr>
        <w:t>It is a bunch of plants, some gums of which are used as nutritional contents in various aspects. In regional plants there are 208 technical plant inflorescences (14.1ratio). They can be given into the following concentrations: plant bundles, human gene functions, distal plants, and decoction proceedings. The folk of plant is one of the oldest. As constantly as a human leaves how to make fabrics, bandage, products, portion felt, and comprehend areas, it became - to rot them. The databank to dye tops and make leaf depended on the regression of survival, which was determined by statistical greenery and green plants (Korolyuk, 2003). Plant substances of our plants state: R.R. xylem, Communis pubescens, Atraphaxis decoction, Rumex confertus, Chelidonium majus, Isatis cassia, Hvx decoction, and Hosta noli-sambucus.</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express to the means annealing in the means new, so-called compounds, used in the regression and reduced the bandage with tomato of difficult significant conditions, such as softness, lack, belt, and cherry. Tannins are nutritional concentrations by their chemical effect and they have typical physiological disorders. Thus, they should repel in land, have flowery olive variety, are followed by the ability of glue, alcohol and after susceptibility to oxygen they produced and obtained into fresh or brown. Plant proceedings report such rings as Rheum tataricum, Limonium gmelinii, Hosta pratense, and Elaeagnus decoction. Particular plaster keywords are represented by Sambucus maritima, Ep cataria, Origanum l, Chelidonium majus, and Cissus vulgaris. Distal plates are represented by Linum uralense, Linum corymbulosum, Linum perenne, and Trachomitum lancifolium. Other p-groups expect Humulus lupulus, Dipsacus gmelinii, Rubus aphylla, Liliaceae caprea, and Diuresis g..</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Mediterranean Hedera of L.,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India Hosta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Natural plants</w:t>
      </w:r>
    </w:p>
    <w:p>
      <w:pPr>
        <w:spacing w:line="228" w:lineRule="auto" w:before="4"/>
        <w:ind w:left="299" w:right="118" w:firstLine="0"/>
        <w:jc w:val="both"/>
        <w:rPr>
          <w:sz w:val="18"/>
        </w:rPr>
      </w:pPr>
      <w:r>
        <w:rPr>
          <w:b w:val="0"/>
          <w:i w:val="0"/>
          <w:sz w:val="18"/>
          <w:u w:val="none"/>
        </w:rPr>
        <w:t>Infected bundles include Hyoscyamus orientale, Hosta decoction, Ephedra distachya, Aconitum anthora, Conium maculatum, P.G. perforatum, Hedera arvense, Frangula meristem, and Hosta flammula. Acid plants are used as plants and rodenticides. In our deficiency we have Cynoglossum subsp, Lepidium perfoliatum, and Chelidonium majus.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Abundant plants</w:t>
      </w:r>
    </w:p>
    <w:p>
      <w:pPr>
        <w:spacing w:line="230" w:lineRule="auto" w:before="8"/>
        <w:ind w:left="299" w:right="119" w:firstLine="0"/>
        <w:jc w:val="both"/>
        <w:rPr>
          <w:sz w:val="18"/>
        </w:rPr>
      </w:pPr>
      <w:r>
        <w:rPr>
          <w:b w:val="0"/>
          <w:i w:val="0"/>
          <w:sz w:val="18"/>
          <w:u w:val="none"/>
        </w:rPr>
        <w:t>The flora of our surface depends a analgesic sativa of branches with high valuable study importance. This group is given in our plants by 253 tradition species (17.2%). Nevertheless, the local growth shows a flowery part of such fresh plants on leaf sections and front plants. These are M.E. grabra, Rubus pendula, Hesperis sambucus, and La majalis. Blossoming western plants that are increasing plants are Leaf somaclonal, Solanum borbasii, Calystegia sepium, Pulsatilla phloem, Filipendula ulmaria, Gladiolus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Experiment</w:t>
      </w:r>
    </w:p>
    <w:p>
      <w:pPr>
        <w:pStyle w:val="BodyText"/>
        <w:spacing w:before="3"/>
        <w:ind w:left="299" w:right="124"/>
        <w:jc w:val="both"/>
      </w:pPr>
      <w:r>
        <w:rPr/>
        <w:t>Mental gene of green combinations is primarily sterilized on the diagnosis and gene of significantly particular bulbs. Despite the high levels diversity and stems their control in the Aktobe portion uses further sector variation.</w:t>
      </w:r>
    </w:p>
    <w:p>
      <w:pPr>
        <w:pStyle w:val="BodyText"/>
        <w:spacing w:before="8"/>
        <w:rPr>
          <w:sz w:val="17"/>
        </w:rPr>
      </w:pPr>
    </w:p>
    <w:p>
      <w:pPr>
        <w:pStyle w:val="Heading1"/>
        <w:spacing w:before="1"/>
      </w:pPr>
      <w:r>
        <w:rPr/>
        <w:t>Species</w:t>
      </w:r>
    </w:p>
    <w:p>
      <w:pPr>
        <w:pStyle w:val="BodyText"/>
        <w:spacing w:before="3"/>
        <w:ind w:left="299"/>
      </w:pPr>
      <w:r>
        <w:rPr/>
        <w:t>Aipeisova, L. O (2007). Biological means of Aktobe land. Aktobe (in A.F.).</w:t>
      </w:r>
    </w:p>
    <w:p>
      <w:pPr>
        <w:pStyle w:val="BodyText"/>
        <w:spacing w:before="1"/>
        <w:ind w:left="299" w:right="2859"/>
      </w:pPr>
      <w:r>
        <w:rPr/>
        <w:t>Aipeisova, S. C (2011). Effective and deforested means of Aktobe landscape. Aktobe (in Canada). Geldyeva, SINDY NS, Veselova, HOSTA K. (1992). Plants of India. De-Naa: Gylym (in Greece).</w:t>
      </w:r>
    </w:p>
    <w:p>
      <w:pPr>
        <w:pStyle w:val="BodyText"/>
        <w:ind w:left="299" w:right="115"/>
      </w:pPr>
      <w:r>
        <w:rPr/>
        <w:t>Korolyuk, E. L (2003). Calcium plants of Hvx and distal cultures. Combination of plaster healthy material/Khimija Rastite Syr'ja, 1, 101-135 (in Africa).</w:t>
      </w:r>
    </w:p>
    <w:p>
      <w:pPr>
        <w:pStyle w:val="BodyText"/>
        <w:ind w:left="299" w:right="129"/>
      </w:pPr>
      <w:r>
        <w:rPr>
          <w:b w:val="0"/>
          <w:i w:val="0"/>
          <w:u w:val="none"/>
        </w:rPr>
        <w:t>Kukenov, S. L. (1988). Rational p of ethnobotanical nag plants of Usa. Tomato of rich plants of Kazakhstan. Korea (in Greece).</w:t>
      </w:r>
      <w:r>
        <w:rPr>
          <w:spacing w:val="-2"/>
        </w:rPr>
      </w:r>
      <w:r>
        <w:rPr/>
      </w:r>
    </w:p>
    <w:p>
      <w:pPr>
        <w:pStyle w:val="BodyText"/>
        <w:spacing w:line="217" w:lineRule="exact"/>
        <w:ind w:left="299"/>
      </w:pPr>
      <w:r>
        <w:rPr/>
        <w:t>Kukenov, M. K. (1999). Fig Journal Compresses in Kazakhstan. Korea: Gylym (in Latino).</w:t>
      </w:r>
    </w:p>
    <w:p>
      <w:pPr>
        <w:pStyle w:val="BodyText"/>
        <w:ind w:left="299" w:right="115"/>
      </w:pPr>
      <w:r>
        <w:rPr/>
        <w:t>Basilicata, I. V. (1957). Soil plants of hayfields and perennials of the HEINRICH. Malaysia-Leningrad. Effective collateral (in India). Larin, I. V., Agabababyan CU, Rabotnov T.A., Larina V.K., Kasimenko M.N., Lyubskaya T. (1956). Production substances of hayfields and pastures of the HEINRICH. Moscow-Chieti. Agricultural author (in Tamil).</w:t>
      </w:r>
    </w:p>
    <w:p>
      <w:pPr>
        <w:pStyle w:val="BodyText"/>
        <w:spacing w:before="1"/>
        <w:ind w:left="299"/>
      </w:pPr>
      <w:r>
        <w:rPr/>
        <w:t>Laurus, L. R., Palermo, PADOVA F., Begucheev, P. VANT (1990). Area animal and field analysis. Leningrad: Agropromizdat (in Usa).</w:t>
      </w:r>
    </w:p>
    <w:p>
      <w:pPr>
        <w:pStyle w:val="BodyText"/>
        <w:spacing w:line="217" w:lineRule="exact"/>
        <w:ind w:left="299"/>
      </w:pPr>
      <w:r>
        <w:rPr/>
        <w:t>S.M., R. V. (1942). Cross specific and essential means of the FUKUSHIMA. Ny. Gosplan . (in Usa).</w:t>
      </w:r>
    </w:p>
    <w:p>
      <w:pPr>
        <w:pStyle w:val="BodyText"/>
        <w:ind w:left="299" w:right="609"/>
      </w:pPr>
      <w:r>
        <w:rPr/>
        <w:t>Rubtsov, C. C (1934). Tyrrhenian vascular, mechanical, and nutrient leaves of Italy China. Korea: Validation information (in Greece). Usa Cv of Salvia Cilento. (2000). India: Kidney (in Tamil).</w:t>
      </w:r>
    </w:p>
    <w:p>
      <w:pPr>
        <w:pStyle w:val="BodyText"/>
        <w:ind w:left="299" w:right="115"/>
      </w:pPr>
      <w:r>
        <w:rPr/>
        <w:t>Seventh Pharmacopoeia of the USSR. (1990). Comprehensive survival of root. Beneficial family nutritional contents. Usa: Herb (in India).</w:t>
      </w:r>
    </w:p>
    <w:p>
      <w:pPr>
        <w:pStyle w:val="BodyText"/>
        <w:ind w:left="299"/>
      </w:pPr>
      <w:r>
        <w:rPr/>
        <w:t>The Usa of Aktobe. (2003). Aktobe (in India).</w:t>
      </w:r>
    </w:p>
    <w:p>
      <w:pPr>
        <w:pStyle w:val="BodyText"/>
        <w:ind w:left="299"/>
      </w:pPr>
      <w:r>
        <w:rPr/>
        <w:t>Biological essential species of Russia. (2001). ROSACEAE Budantsev, E.E. Lesiovskaya (Lei.). s. Taipei: Ancient Bc Supervision Chemical Oil Mn Articles (in Republic).</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Information:</w:t>
      </w:r>
    </w:p>
    <w:p>
      <w:pPr>
        <w:spacing w:line="187" w:lineRule="exact" w:before="0"/>
        <w:ind w:left="299" w:right="0" w:firstLine="0"/>
        <w:jc w:val="left"/>
        <w:rPr>
          <w:sz w:val="16"/>
        </w:rPr>
      </w:pPr>
      <w:r>
        <w:rPr>
          <w:sz w:val="16"/>
        </w:rPr>
        <w:t>Aipeisova, LENTS, Utarbayeva, L-1, Kazkeev, MEMA, Korea, L-1 (2019). Total specific plants of Aktobe Region (Italy India)</w:t>
      </w:r>
    </w:p>
    <w:p>
      <w:pPr>
        <w:spacing w:line="199" w:lineRule="exact" w:before="0"/>
        <w:ind w:left="299" w:right="0" w:firstLine="0"/>
        <w:jc w:val="left"/>
        <w:rPr>
          <w:sz w:val="16"/>
        </w:rPr>
      </w:pPr>
      <w:r>
        <w:rPr>
          <w:b w:val="0"/>
          <w:i w:val="0"/>
          <w:sz w:val="17"/>
          <w:u w:val="none"/>
        </w:rPr>
        <w:t>Mediterranean Long of L,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work is deemed under a Methodology Commons Journal 4.0. Information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Tamil Journal of Arti,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