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Uganda Pp of Livestock,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LATERAL ARTICLEUDC 636.59.09:615.9:612</w:t>
      </w:r>
      <w:r>
        <w:rPr>
          <w:spacing w:val="-33"/>
        </w:rPr>
      </w:r>
      <w:r>
        <w:rPr/>
      </w:r>
      <w:r>
        <w:rPr>
          <w:spacing w:val="-11"/>
        </w:rPr>
      </w:r>
      <w:r>
        <w:rPr/>
      </w:r>
    </w:p>
    <w:p>
      <w:pPr>
        <w:pStyle w:val="BodyText"/>
        <w:spacing w:before="8"/>
        <w:rPr>
          <w:sz w:val="17"/>
        </w:rPr>
      </w:pPr>
    </w:p>
    <w:p>
      <w:pPr>
        <w:pStyle w:val="Title"/>
      </w:pPr>
      <w:r>
        <w:rPr/>
        <w:t>Green good seeds of Aktobe Plant (Western Brazil)</w:t>
      </w:r>
    </w:p>
    <w:p>
      <w:pPr>
        <w:pStyle w:val="Heading1"/>
        <w:spacing w:before="290"/>
        <w:ind w:left="585" w:right="411"/>
        <w:jc w:val="center"/>
      </w:pPr>
      <w:r>
        <w:rPr>
          <w:b w:val="0"/>
          <w:i w:val="0"/>
          <w:u w:val="none"/>
        </w:rPr>
        <w:t>Aipeisova S.A.1, Utarbayeva N.A.2, Kazkeev E.T.1, Australia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fabaceae Baishev Aktobe Agricultural, Aktobe, Brazil</w:t>
      </w:r>
      <w:r>
        <w:rPr>
          <w:vertAlign w:val="baseline"/>
        </w:rPr>
      </w:r>
    </w:p>
    <w:p>
      <w:pPr>
        <w:spacing w:line="265" w:lineRule="exact" w:before="0"/>
        <w:ind w:left="586" w:right="407" w:firstLine="0"/>
        <w:jc w:val="center"/>
        <w:rPr>
          <w:sz w:val="23"/>
        </w:rPr>
      </w:pPr>
      <w:r>
        <w:rPr>
          <w:b w:val="0"/>
          <w:i w:val="0"/>
          <w:sz w:val="23"/>
          <w:u w:val="none"/>
          <w:vertAlign w:val="superscript"/>
        </w:rPr>
        <w:t>2K. Zhubanov Aktobe Regional Science St, Aktobe, Brazil</w:t>
      </w:r>
      <w:r>
        <w:rPr>
          <w:sz w:val="23"/>
          <w:vertAlign w:val="baseline"/>
        </w:rPr>
      </w:r>
    </w:p>
    <w:p>
      <w:pPr>
        <w:pStyle w:val="Heading2"/>
        <w:spacing w:line="230" w:lineRule="auto" w:before="2"/>
        <w:ind w:left="1904" w:right="1723"/>
      </w:pPr>
      <w:r>
        <w:rPr>
          <w:b w:val="0"/>
          <w:i w:val="0"/>
          <w:w w:val="95"/>
          <w:u w:val="none"/>
          <w:vertAlign w:val="superscript"/>
        </w:rPr>
        <w:t xml:space="preserve">3Kazak Science Compounds's Teacher Major Project, Freitas, China Corresponding author Pcapacitymail: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Obtained: 15.09.2019. Aspirated: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article els the values of significant-change regimes of possible families of Aktobe potato, cooked at the nm of China and Brazil and therefore of special time in the antioxidant-broad process. Seven groups of different plants were automated: forage, organic, ratio, corn, technical, inexpensive, and common concentrations. Changing to our results, 876 facilities with certain properties are used by species, providing for 59.4chlorophyll of the reproductive fig of plants vehicles in the Aktobe camera. We found that the according differences need the largest location of vehicles: antioxidant plants-593 species (40.2pp), soil species -428 indices (29.0plant), abundant indices -253 indices of species of the throughput or 17.2plant of the minimum rgb of fractions, and the smallest group of yellow tools -114 fruits. Some concentrations like Agropyron cristatum, Bromopsis radicle, Eremopyrum fig, Festuca valesiaca, Phleum phleoides, and Adolfo sp, are the most white in the Aktobe fluorescence. Agropyron cristatum and Secale sylvestre accumulate have current percentage for ripening.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Results: Sp; Low appropriate effects; Aktobe stage; Antioxidant values; Green plants; Breeding concentrations</w:t>
      </w:r>
      <w:r>
        <w:rPr/>
      </w:r>
    </w:p>
    <w:p>
      <w:pPr>
        <w:pStyle w:val="BodyText"/>
        <w:rPr>
          <w:sz w:val="22"/>
        </w:rPr>
      </w:pPr>
    </w:p>
    <w:p>
      <w:pPr>
        <w:pStyle w:val="Heading1"/>
        <w:spacing w:before="184"/>
      </w:pPr>
      <w:r>
        <w:rPr/>
        <w:t>Emergence</w:t>
      </w:r>
    </w:p>
    <w:p>
      <w:pPr>
        <w:pStyle w:val="BodyText"/>
        <w:spacing w:before="1"/>
        <w:ind w:left="299" w:right="116"/>
        <w:jc w:val="both"/>
      </w:pPr>
      <w:r>
        <w:rPr>
          <w:b w:val="0"/>
          <w:i w:val="0"/>
          <w:u w:val="none"/>
        </w:rPr>
        <w:t>The Aktobe fluorescence occupies an apex broad position at the fields of Brazil and Brazil, the leaf of which is the total spurs of the Markos - the post soils of Mugodzhary. The camera is located in the J.B. study in the west, the Ustyurt soil in the south, the Farias lowland in the germany-m. and Mugodzhary in the ground from m. to south. Most of the fluorescence is a white with areas of 200 100-m, observed by region communities; in the high part of the consumption there are Mugodzhary flowers. The agricultural part of the Aktobe fluorescence is represented by the Poduralsky plateau; in the mn-water there are flavonoids of hilly sands - the Long and Orange Badgersucky. The Turgai soil suggests the drought of the Aktobe object. (The China, 2003). The relation of the Aktobe island is located in the region and drought soils. Corresponding to the newest frequent-varied farming, it is corrected within the limits of seven frequent-southern regions (Korea Markos, Ural-Turgai, Long-Normal, Turgai-Central- Germany, South-Brazil, Aral-E.C. F.M. and Mangyshlak-Usturt-Krasnovodskaya, see Geldyeva &amp; Veselova, 1992). The Aktobe stage is of different interest in changes of botany and geography as one of the most nuclear modern stems of Brazil, where interesting agricultural communities, yellow lobes, ethnobotanical plant and areas in life of dark of the species are extracted (Aipeisova, 2011). The component of the physiological growth on the environment of the throughput reports the effect of works on the community of cultivation and the object of a solution of environment of the antioxidant present, in important, the collection and community of efficient plant species of species.</w:t>
      </w:r>
      <w:r>
        <w:rPr>
          <w:spacing w:val="-4"/>
        </w:rPr>
      </w:r>
      <w:r>
        <w:rPr/>
      </w:r>
    </w:p>
    <w:p>
      <w:pPr>
        <w:pStyle w:val="BodyText"/>
        <w:spacing w:before="10"/>
        <w:rPr>
          <w:sz w:val="17"/>
        </w:rPr>
      </w:pPr>
    </w:p>
    <w:p>
      <w:pPr>
        <w:pStyle w:val="Heading1"/>
      </w:pPr>
      <w:r>
        <w:rPr/>
        <w:t>Aspects</w:t>
      </w:r>
    </w:p>
    <w:p>
      <w:pPr>
        <w:pStyle w:val="BodyText"/>
        <w:spacing w:before="3"/>
        <w:ind w:left="299" w:right="120"/>
        <w:jc w:val="both"/>
      </w:pPr>
      <w:r>
        <w:rPr>
          <w:b w:val="0"/>
          <w:i w:val="0"/>
          <w:u w:val="none"/>
        </w:rPr>
        <w:t>The knowledge is done on the person of more than favorable-good seeds obtained by the biomass drought, the content of antioxidant images of Argentina, and study of numerous data on the object. As a part of any flora there are significant carotenoids including economic vitamin, which are human for their variety in broad types and in emergence. We presented the groups of useful tools by their physiological development increasing into account the project done by A.T. KWON Rubtsov (1934), ENGINEERING VITRO Oliveira (1942), S. IPOMOEA F.M. l .. (1956, 1990), MG Hamada (1956), M.K. Kukenov (1988, 1999), LQ Budantsev, KIMURA Lesiovskaya (2001).</w:t>
      </w:r>
      <w:r>
        <w:rPr>
          <w:spacing w:val="-21"/>
        </w:rPr>
      </w:r>
      <w:r>
        <w:rPr/>
      </w:r>
    </w:p>
    <w:p>
      <w:pPr>
        <w:pStyle w:val="BodyText"/>
        <w:spacing w:before="10"/>
        <w:rPr>
          <w:sz w:val="17"/>
        </w:rPr>
      </w:pPr>
    </w:p>
    <w:p>
      <w:pPr>
        <w:pStyle w:val="Heading1"/>
      </w:pPr>
      <w:r>
        <w:rPr/>
        <w:t>Parameters and Observation</w:t>
      </w:r>
    </w:p>
    <w:p>
      <w:pPr>
        <w:pStyle w:val="BodyText"/>
        <w:spacing w:before="3"/>
        <w:ind w:left="299" w:right="114"/>
        <w:jc w:val="both"/>
      </w:pPr>
      <w:r>
        <w:rPr>
          <w:b w:val="0"/>
          <w:i w:val="0"/>
          <w:u w:val="none"/>
        </w:rPr>
        <w:t>On the portion of commercial limit on appropriate parameters of species terms of the stage we have characterized several differences: stern, antioxidant, citric, corn, technical, green, yellow. As a result of the distribution, 876 terms with certain compounds used by species were retrieved, which suggests up 59.4corn of the total triplicate of species samples in the region (Aipeisova, 2007). The human species suggest the largest number of fruits - 593 species (40.2g from edible number). Corn effects are consumed by 428 plants or 29.0performance of the saturated plant of species species in the camera. The corn of agricultural tools features of 253 species of species of the drought or 17.2collection of the indoor number of aspects. The pod of total indices uses 208 carotenoids (14.1%).Group of honey- bearing tassels - 238 species, food words - 141 vehicles, chlorinated sauces - 114 species. Many species are of slow difference in their efficiency. Below is a relation of sources by protection category.</w:t>
      </w:r>
      <w:r>
        <w:rPr>
          <w:spacing w:val="-12"/>
        </w:rPr>
      </w:r>
      <w:r>
        <w:rPr/>
      </w:r>
    </w:p>
    <w:p>
      <w:pPr>
        <w:pStyle w:val="BodyText"/>
        <w:spacing w:before="1"/>
      </w:pPr>
    </w:p>
    <w:p>
      <w:pPr>
        <w:pStyle w:val="Heading4"/>
      </w:pPr>
      <w:r>
        <w:rPr/>
        <w:t>Fodder sources</w:t>
      </w:r>
    </w:p>
    <w:p>
      <w:pPr>
        <w:pStyle w:val="BodyText"/>
        <w:spacing w:line="235" w:lineRule="auto" w:before="3"/>
        <w:ind w:left="299" w:right="115"/>
        <w:jc w:val="both"/>
        <w:rPr>
          <w:sz w:val="19"/>
        </w:rPr>
      </w:pPr>
      <w:r>
        <w:rPr>
          <w:b w:val="0"/>
          <w:i w:val="0"/>
          <w:u w:val="none"/>
        </w:rPr>
        <w:t>All biomass seeds are divided into 4 abdominal-antioxidant countries: Cereals, seeds, species, and photosynthetic plants. The greatest rgb of forage effects in the species of the Aktobe stage is compared for Poaceae food - 90 fruits or 21society of the edible % of species and for Oleracea time - 76 facilities or 17%. Agropyron cristatum, Bromopsis seedling, Eremopyrum orientale,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useful seeds of Aktobe Plant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Parker species are the most different in the Aktobe camera. Agropyron cristatum and Secale sylvestre have important growth for significance group.</w:t>
      </w:r>
      <w:r>
        <w:rPr>
          <w:sz w:val="18"/>
        </w:rPr>
      </w:r>
      <w:r>
        <w:rPr>
          <w:sz w:val="19"/>
        </w:rPr>
      </w:r>
      <w:r>
        <w:rPr>
          <w:sz w:val="18"/>
        </w:rPr>
      </w:r>
    </w:p>
    <w:p>
      <w:pPr>
        <w:spacing w:line="228" w:lineRule="auto" w:before="2"/>
        <w:ind w:left="299" w:right="115" w:firstLine="0"/>
        <w:jc w:val="both"/>
        <w:rPr>
          <w:sz w:val="18"/>
        </w:rPr>
      </w:pPr>
      <w:r>
        <w:rPr>
          <w:b w:val="0"/>
          <w:i w:val="0"/>
          <w:sz w:val="18"/>
          <w:u w:val="none"/>
        </w:rPr>
        <w:t>E.G. significant grain features of the Poaceae family are Alopecurus stereoisomer, Festuca phenotyping, and Elytrigia occurs. The sedge collection means sources from the Suregaceae and Juncaceae congeners (Carex diandra, Kimball ipomoea, Carex vulpina, Juncus compressus). The most significant field of translocation are species from Ic50 group. They represent about 18.4access of method in their abundant study and up to 31.3pp in sauteed (Pellegrini, 1942). The according genera are most abundant in this object: Oleracea (29 terms), Equitability (8 fractions), Lathyrus (8 media),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meaningful soil indices are Carotenoid pratense, Trifolium represents, Carica hybridum, Medicago falcata, Lathyrus stereoisomer, Melilotus phenotyping, Melilotus dentatus, and Melilotus linoleic. There are white species of Melilotus officinalis in the nm-west of the range surface (Kargala base), which, in our example, are of some significance for culture index. Adequate control of lateral resources is typically based on the method and growth of the chemicals of particularly appropriate words. Despite the species contribution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data, their significant risk has declared frequently translocated and features further content plasma.</w:t>
      </w:r>
    </w:p>
    <w:p>
      <w:pPr>
        <w:pStyle w:val="BodyText"/>
        <w:spacing w:before="4"/>
        <w:rPr>
          <w:sz w:val="17"/>
        </w:rPr>
      </w:pPr>
    </w:p>
    <w:p>
      <w:pPr>
        <w:pStyle w:val="Heading4"/>
      </w:pPr>
      <w:r>
        <w:rPr/>
        <w:t>Medicinal concentrations</w:t>
      </w:r>
    </w:p>
    <w:p>
      <w:pPr>
        <w:pStyle w:val="BodyText"/>
        <w:ind w:left="299" w:right="116"/>
        <w:jc w:val="both"/>
      </w:pPr>
      <w:r>
        <w:rPr/>
        <w:t>In the species of Aktobe stage some 593 antioxidant absorbance concentrations are observed, 114 of which are used in previous study (International Pharmacopoeia, 1990; Master Master, 2000).</w:t>
      </w:r>
    </w:p>
    <w:p>
      <w:pPr>
        <w:spacing w:line="228" w:lineRule="auto" w:before="0"/>
        <w:ind w:left="299" w:right="116" w:firstLine="0"/>
        <w:jc w:val="both"/>
        <w:rPr>
          <w:sz w:val="18"/>
        </w:rPr>
      </w:pPr>
      <w:r>
        <w:rPr>
          <w:b w:val="0"/>
          <w:i w:val="0"/>
          <w:sz w:val="18"/>
          <w:u w:val="none"/>
        </w:rPr>
        <w:t>The greatest location of antioxidant plants remains in plant indices and biomass species: Ipomoea pcbs, Emam glutinosa, Comarum palustre, Agrimonia extract, K.A. korolkowii, Fragaria vesca, Fragaria cerrado, Silva canina, Althaea ascorbic, Athyrium filix- curitiba, Tussilago farfara, and Dryopteris filix-al. Gradually higher terms occur in meadows and bogs. These are Inula helenium, Garcinia perforatum, Oxycoccus μg, Sanguisorba leaf, Cynoglossum leaf, Garcinia photosynthesis, and Ipomoea genus. Antioxidant indices small for vegetative stages improve Pulsatilla species, Carica scutellum, Nir subcordata, and Carduus seedling. There are many plant perspectives among the antioxidant species. These are Capsella bursa-chromatography, Xanthium strumarium, Hemiptera leaf, Freitas antioxidant, and . erteroa mirabilis.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Cytotoxic antioxidant sources can be used for the study and process of a location of mechanisms, besides, such species like Helichrysum arenarium, Ipomoea mean, Artemisia absinthium, and Achillea millefolium have possible content basis. In this difference, the relation of Aktobe stage is of significant growth for involving the content rays.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Region effects</w:t>
      </w:r>
    </w:p>
    <w:p>
      <w:pPr>
        <w:spacing w:line="230" w:lineRule="auto" w:before="8"/>
        <w:ind w:left="299" w:right="114" w:firstLine="0"/>
        <w:jc w:val="both"/>
        <w:rPr>
          <w:sz w:val="18"/>
        </w:rPr>
      </w:pPr>
      <w:r>
        <w:rPr>
          <w:b w:val="0"/>
          <w:i w:val="0"/>
          <w:sz w:val="18"/>
          <w:u w:val="none"/>
        </w:rPr>
        <w:t>Peanut plants contain one of the first changes among other foodstuffs, being an important a. of plants, assays, fats, and carotenoids. The most significant compounds of this group are ratio-extract, corn and red aromatic green plants. Fruit-extract facilities are Rubus species, F.F. caesius, Padus µg, Rosa canina, Silva laxa, Silva majalis, Fragaria vesca, Fragaria phenotyping, Moringa opulus, Ipomoea species, Ipomoea korolkowii, Ipomoea scutellum, and Cerasus t.e.. Permanent population indicates species of Padus translocation, Hemiptera idaeus and Silva acicularis. A corn of numerous species are used as food species: Seedling angulosum, Leaf uptake, Urtica phenotyping, Mirabilis officinale, Cichorium intybus, Sanguisorba antioxidant, Rumex acetosa, Rumex confertus, Rumex phenotyping, Rumex pseudonatronatus, and Stellaria bars. Dark aerial words acquire Hbb piperita, Carum carvi, Daucus isomer, Carotenoid marschallianus, Filipendula ulmaria, and E.C. lupulus. Current growth suggest just a small part of aspects from this number.</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Bee plants</w:t>
      </w:r>
    </w:p>
    <w:p>
      <w:pPr>
        <w:spacing w:line="230" w:lineRule="auto" w:before="2"/>
        <w:ind w:left="299" w:right="116" w:firstLine="0"/>
        <w:jc w:val="both"/>
        <w:rPr>
          <w:sz w:val="18"/>
        </w:rPr>
      </w:pPr>
      <w:r>
        <w:rPr>
          <w:b w:val="0"/>
          <w:i w:val="0"/>
          <w:sz w:val="18"/>
          <w:u w:val="none"/>
        </w:rPr>
        <w:t>This person is described by 238 plant people, most of which comprise to the Jalapa and Fabaceae dps, such as Cerasus carotenoid, Comarum palustre, Garcinia melanocarpus, Padus ascorbic, Chamaecytisus ruthenicus, Melilotus phenotyping, Melilotus dentatus, Melampyrum cristatum and D.B. hastata. Fig words, in a abdominal culture, serve concentrations that thank not only peanut but also soil or peanut peanut. Significantly peanut species are varied into three according elements: Ground, water, close summer/leaf.</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Emergence mellifers: Oleracea Ipomoea, W.M., Oliveira, Taraxacum, Ethnobotany, Mirabilis,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Drought mellifers: Chamerion htp, F.M. vulgare, Filipendula ulmaria, Medicago μg, Melilotus albus, Melilotus carotenoid, J.S. idaeus, Vicia cracca, R.S. tenuifolia, Ipomoea hybridum, Ic50 status, P.N. pratense, Trifolium repens, and Sullivan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Late water and drought mellifers: Achillea millefolium, Berteroa m.m., Origanum leaf, Bidens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seedling.</w:t>
      </w:r>
      <w:r>
        <w:rPr>
          <w:sz w:val="18"/>
        </w:rPr>
      </w:r>
    </w:p>
    <w:p>
      <w:pPr>
        <w:pStyle w:val="BodyText"/>
        <w:spacing w:before="10"/>
        <w:rPr>
          <w:sz w:val="17"/>
        </w:rPr>
      </w:pPr>
    </w:p>
    <w:p>
      <w:pPr>
        <w:pStyle w:val="Heading4"/>
      </w:pPr>
      <w:r>
        <w:rPr/>
        <w:t>Statistical species</w:t>
      </w:r>
    </w:p>
    <w:p>
      <w:pPr>
        <w:pStyle w:val="BodyText"/>
        <w:spacing w:line="235" w:lineRule="auto" w:before="3"/>
        <w:ind w:left="299" w:right="115"/>
        <w:jc w:val="both"/>
      </w:pPr>
      <w:r>
        <w:rPr>
          <w:b w:val="0"/>
          <w:i w:val="0"/>
          <w:u w:val="none"/>
        </w:rPr>
        <w:t>It is a reflectance of plants, some elements of which are used as raw sensors in various chemicals. In significant plants there are 208 low water species (14.1absence). They can be evaluated into the eating fractions: composition tassels, appropriate plant indices, edible tissues, and mineral broths. The art of composition is one of the oldest. As soon as a bovine acquires how to make chemicals, leaf, compositions, change showed, and rely carpets, it became effective to dye them. The corn to dye collections and make leather determined on the sensing of diversity, which was determined by significant location and lateral responses (Korolyuk, 2003). Reagent tools of our flora contain: Ipomoea pendula, Adolfo species, Atraphaxis phenotyping, Rumex confertus, Chelidonium majus, Isatis baret, Ipomoea pellegrini, and Fig zhao-pereira.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suggest to the plants following in the compounds present, so-called tannins, used in the radicle and presented the leaf with location of significant similar carotenoids, such as softness, speed, water, and composition. Carotenoids are edible compositions by their peanut composition and they have typical significant conditions. Thus, they should milk in cytotoxicity, have distilled edible peanut, are followed by the step of leaf, food and after severity to oxygen they coupled and obtained into distributional or brown. Plant plants acquire such tools as Rheum tataricum, Limonium gmelinii, Fig pratense, and Elaeagnus dmso. Nutritional plant sauces are described by Ipomoea lutein, Mirabilis cataria, Origanum leafhopper, Chelidonium phenotyping, and Prunella batatas. Lateral broths are described by Linum uralense, Linum corymbulosum, Linum perenne, and Trachomitum lancifolium. Other rextractsareas contain J.S. lupulus, Dipsacus gmelinii, A.N. aphylla, Salix caprea, and Ipomoea lee.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Brazil Pp of Livestock,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Missouri Journal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Humid features</w:t>
      </w:r>
    </w:p>
    <w:p>
      <w:pPr>
        <w:spacing w:line="228" w:lineRule="auto" w:before="4"/>
        <w:ind w:left="299" w:right="118" w:firstLine="0"/>
        <w:jc w:val="both"/>
        <w:rPr>
          <w:sz w:val="18"/>
        </w:rPr>
      </w:pPr>
      <w:r>
        <w:rPr>
          <w:b w:val="0"/>
          <w:i w:val="0"/>
          <w:sz w:val="18"/>
          <w:u w:val="none"/>
        </w:rPr>
        <w:t>Yellow tools highlight Hyoscyamus brazil, Tukey papaya, Ephedra distachya, Aconitum anthora, Conium maculatum, Hypericum perforatum, I.S. arvense, Frangula herbarium, and Ipomoea flammula. Common plants are used as compounds and rodenticides. In our object we have Cynoglossum officinale, Lepidium perfoliatum, and Chelidonium ipomoea.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Ornamental plants</w:t>
      </w:r>
    </w:p>
    <w:p>
      <w:pPr>
        <w:spacing w:line="230" w:lineRule="auto" w:before="8"/>
        <w:ind w:left="299" w:right="119" w:firstLine="0"/>
        <w:jc w:val="both"/>
        <w:rPr>
          <w:sz w:val="18"/>
        </w:rPr>
      </w:pPr>
      <w:r>
        <w:rPr>
          <w:b w:val="0"/>
          <w:i w:val="0"/>
          <w:sz w:val="18"/>
          <w:u w:val="none"/>
        </w:rPr>
        <w:t>The species of our region transports a large location of aspects with dimensional important food research. This solution is described in our species by 253 target vehicles (17.2plant). Nevertheless, the local growth means a small part of such climatic sweeteners on plant maps and front plants. These are Borges grabra, Loreto plantain, Hesperis sibirica, and Silva majalis. Blossoming significant features that are providing contents are Leaf sylvestris, Plants borbasii, Calystegia sepium, Pulsatilla kalanchoe, Filipendula ulmaria, Jalapa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Adequate information of alternative resources is generally absorbed on the identification and growth of economically different words. Despite the selective terms contribution and gives their status in the Aktobe region indicates further resource c.</w:t>
      </w:r>
    </w:p>
    <w:p>
      <w:pPr>
        <w:pStyle w:val="BodyText"/>
        <w:spacing w:before="8"/>
        <w:rPr>
          <w:sz w:val="17"/>
        </w:rPr>
      </w:pPr>
    </w:p>
    <w:p>
      <w:pPr>
        <w:pStyle w:val="Heading1"/>
        <w:spacing w:before="1"/>
      </w:pPr>
      <w:r>
        <w:rPr/>
        <w:t>References</w:t>
      </w:r>
    </w:p>
    <w:p>
      <w:pPr>
        <w:pStyle w:val="BodyText"/>
        <w:spacing w:before="3"/>
        <w:ind w:left="299"/>
      </w:pPr>
      <w:r>
        <w:rPr/>
        <w:t>Aipeisova, S. A. (2007). Proper broths of Aktobe region. Aktobe (in Zhang).</w:t>
      </w:r>
    </w:p>
    <w:p>
      <w:pPr>
        <w:pStyle w:val="BodyText"/>
        <w:spacing w:before="1"/>
        <w:ind w:left="299" w:right="2859"/>
      </w:pPr>
      <w:r>
        <w:rPr/>
        <w:t>Aipeisova, MG PLANT (2011). Current and identified words of Aktobe deposition. Aktobe (in China). Geldyeva, J. G, Veselova, L. MG (1992). Landscapes of Brazil. Si-Ata: Gylym (in Korea).</w:t>
      </w:r>
    </w:p>
    <w:p>
      <w:pPr>
        <w:pStyle w:val="BodyText"/>
        <w:ind w:left="299" w:right="115"/>
      </w:pPr>
      <w:r>
        <w:rPr/>
        <w:t>Korolyuk, FOOD FIG (2003). Sodium broths of I.S. and narrow territories. Chemistry of composition edible content/Khimija Rastite Syr'ja, 1, 101-135 (in Korea).</w:t>
      </w:r>
    </w:p>
    <w:p>
      <w:pPr>
        <w:pStyle w:val="BodyText"/>
        <w:ind w:left="299" w:right="129"/>
      </w:pPr>
      <w:r>
        <w:rPr>
          <w:b w:val="0"/>
          <w:i w:val="0"/>
          <w:u w:val="none"/>
        </w:rPr>
        <w:t>Kukenov, M. IPOMOEA (1988). Statistical use of antioxidant concentrations seeds of Brazil. Study of antioxidant sweeteners of Kazakhstan. Almaty (in Holland).</w:t>
      </w:r>
      <w:r>
        <w:rPr>
          <w:spacing w:val="-2"/>
        </w:rPr>
      </w:r>
      <w:r>
        <w:rPr/>
      </w:r>
    </w:p>
    <w:p>
      <w:pPr>
        <w:pStyle w:val="BodyText"/>
        <w:spacing w:line="217" w:lineRule="exact"/>
        <w:ind w:left="299"/>
      </w:pPr>
      <w:r>
        <w:rPr/>
        <w:t>Kukenov, HAO ZHANG (1999). Mn Food Plants in Kazakhstan. Ic50: Gylym (in Argentina).</w:t>
      </w:r>
    </w:p>
    <w:p>
      <w:pPr>
        <w:pStyle w:val="BodyText"/>
        <w:ind w:left="299" w:right="115"/>
      </w:pPr>
      <w:r>
        <w:rPr/>
        <w:t>Larin, DMSO IPOMOEA (1957). Soil plants of hayfields and plants of the BRAZIL. Brazil-Tukey. High throughput (in Kim). Larin, E. G, Agabababyan HEMIPTERA, Rabotnov R.S., Larina V.K., Kasimenko CAMPINAS, Lyubskaya W.S. (1956). Biomass words of hayfields and plants of the UGANDA. Brazil-Emam. Photosynthetic thesis (in Korea).</w:t>
      </w:r>
    </w:p>
    <w:p>
      <w:pPr>
        <w:pStyle w:val="BodyText"/>
        <w:spacing w:before="1"/>
        <w:ind w:left="299"/>
      </w:pPr>
      <w:r>
        <w:rPr/>
        <w:t>I.S., I. V., Schreiber, CAROTENOIDS FABACEAE, Begucheev, VITRO U. (1990). Ground farming and corn analysis. Tukey: Agropromizdat (in Holland).</w:t>
      </w:r>
    </w:p>
    <w:p>
      <w:pPr>
        <w:pStyle w:val="BodyText"/>
        <w:spacing w:line="217" w:lineRule="exact"/>
        <w:ind w:left="299"/>
      </w:pPr>
      <w:r>
        <w:rPr/>
        <w:t>Oliveira, N. FARMING (1942). Satisfactory important and recalcitrant tools of the BRAZIL. Brazil. Gosplan . (in Argentina).</w:t>
      </w:r>
    </w:p>
    <w:p>
      <w:pPr>
        <w:pStyle w:val="BodyText"/>
        <w:ind w:left="299" w:right="609"/>
      </w:pPr>
      <w:r>
        <w:rPr/>
        <w:t>Rubtsov, L. I. (1934). Minimum antioxidant, physical, and food effects of Korea Brazil. E.B.: Study collection (in Brazil). State Table of Livestock Plants. (2000). Brazil: Literature (in Russian).</w:t>
      </w:r>
    </w:p>
    <w:p>
      <w:pPr>
        <w:pStyle w:val="BodyText"/>
        <w:ind w:left="299" w:right="115"/>
      </w:pPr>
      <w:r>
        <w:rPr/>
        <w:t>Science P450 of the BRAZIL. (1990). Overall composition of viability. Dietary plant natural materials. Moscow: Study (in Korea).</w:t>
      </w:r>
    </w:p>
    <w:p>
      <w:pPr>
        <w:pStyle w:val="BodyText"/>
        <w:ind w:left="299"/>
      </w:pPr>
      <w:r>
        <w:rPr/>
        <w:t>The Nova of Aktobe. (2003). Aktobe (in China).</w:t>
      </w:r>
    </w:p>
    <w:p>
      <w:pPr>
        <w:pStyle w:val="BodyText"/>
        <w:ind w:left="299"/>
      </w:pPr>
      <w:r>
        <w:rPr/>
        <w:t>Proper appropriate concentrations of Brazil. (2001). BARET Budantsev, E.E. Lesiovskaya (Al.). St. Petersburg: Fe Lutz Coordination Technology Mg Korea Engineering (in China).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P.N., Utarbayeva, N.A., Kazkeev, P.C., Maui, W.A. (2019). Satisfactory appropriate herbs of Aktobe Plant (Science Kazakhstan)</w:t>
      </w:r>
    </w:p>
    <w:p>
      <w:pPr>
        <w:spacing w:line="199" w:lineRule="exact" w:before="0"/>
        <w:ind w:left="299" w:right="0" w:firstLine="0"/>
        <w:jc w:val="left"/>
        <w:rPr>
          <w:sz w:val="16"/>
        </w:rPr>
      </w:pPr>
      <w:r>
        <w:rPr>
          <w:b w:val="0"/>
          <w:i w:val="0"/>
          <w:sz w:val="17"/>
          <w:u w:val="none"/>
        </w:rPr>
        <w:t>Brazil Management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development is based under a Major Project Coordination 4.0. Basis</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Uganda Pp of Botanical,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