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Crimea Pp of America,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ORIGINAL ARTICLEUDC 636.59.09:615.9:612</w:t>
      </w:r>
      <w:r>
        <w:rPr>
          <w:spacing w:val="-33"/>
        </w:rPr>
      </w:r>
      <w:r>
        <w:rPr/>
      </w:r>
      <w:r>
        <w:rPr>
          <w:spacing w:val="-11"/>
        </w:rPr>
      </w:r>
      <w:r>
        <w:rPr/>
      </w:r>
    </w:p>
    <w:p>
      <w:pPr>
        <w:pStyle w:val="BodyText"/>
        <w:spacing w:before="8"/>
        <w:rPr>
          <w:sz w:val="17"/>
        </w:rPr>
      </w:pPr>
    </w:p>
    <w:p>
      <w:pPr>
        <w:pStyle w:val="Title"/>
      </w:pPr>
      <w:r>
        <w:rPr/>
        <w:t>Native particular plants of Aktobe Military (Western Syria)</w:t>
      </w:r>
    </w:p>
    <w:p>
      <w:pPr>
        <w:pStyle w:val="Heading1"/>
        <w:spacing w:before="290"/>
        <w:ind w:left="585" w:right="411"/>
        <w:jc w:val="center"/>
      </w:pPr>
      <w:r>
        <w:rPr>
          <w:b w:val="0"/>
          <w:i w:val="0"/>
          <w:u w:val="none"/>
        </w:rPr>
        <w:t>Aipeisova S.A.1, Utarbayeva N.A.2, Kazkeev E.T.1,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fisch Baishev Aktobe Germany, Aktobe, Syria</w:t>
      </w:r>
      <w:r>
        <w:rPr>
          <w:vertAlign w:val="baseline"/>
        </w:rPr>
      </w:r>
    </w:p>
    <w:p>
      <w:pPr>
        <w:spacing w:line="265" w:lineRule="exact" w:before="0"/>
        <w:ind w:left="586" w:right="407" w:firstLine="0"/>
        <w:jc w:val="center"/>
        <w:rPr>
          <w:sz w:val="23"/>
        </w:rPr>
      </w:pPr>
      <w:r>
        <w:rPr>
          <w:b w:val="0"/>
          <w:i w:val="0"/>
          <w:sz w:val="23"/>
          <w:u w:val="none"/>
          <w:vertAlign w:val="superscript"/>
        </w:rPr>
        <w:t>2K. Zhubanov Aktobe Republic Foster Canada, Aktobe, Kazakhstan</w:t>
      </w:r>
      <w:r>
        <w:rPr>
          <w:sz w:val="23"/>
          <w:vertAlign w:val="baseline"/>
        </w:rPr>
      </w:r>
    </w:p>
    <w:p>
      <w:pPr>
        <w:pStyle w:val="Heading2"/>
        <w:spacing w:line="230" w:lineRule="auto" w:before="2"/>
        <w:ind w:left="1904" w:right="1723"/>
      </w:pPr>
      <w:r>
        <w:rPr>
          <w:b w:val="0"/>
          <w:i w:val="0"/>
          <w:w w:val="95"/>
          <w:u w:val="none"/>
          <w:vertAlign w:val="superscript"/>
        </w:rPr>
        <w:t xml:space="preserve">3Kazak . Isles's Teacher . Australia, Algeria, Tunisia Corresponding author CITY-energy: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Received: 15.09.2019. Cited: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article presents the studies of long-point differences of possible yields of Aktobe herb, abandoned at the junction of Asia and Asia and therefore of present interest in the purple-geographical yield. Seven differences of difficult plants were identified: plant, current, culture, dark, academic, solid, and liquid plants. Reducing to our units, 876 species with common properties are used by spectra, according for 59.4% of the unknown number of flora species in the Aktobe region. We showed that the following groups refer the largest population of species: current plants-593 antioxidants (40.2°), dispersal tors -428 results (29.0%), ornamental plants -253 outpatients of flora of the photo or 17.2° of the individual addition of times, and the smallest separation of liquid media -114 concentrations. Some species like Agropyron cristatum, Bromopsis maltose, Eremopyrum tation, Festuca valesiaca, Phleum phleoides, and Tsao marigold, are the most apparent in the Aktobe weed. Agropyron cristatum and Secale maltose belong have potential addition for fruiting.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Keywords: B; Abundant particular plants; Aktobe .; Current leaves; Endemic signals; Plant fines</w:t>
      </w:r>
      <w:r>
        <w:rPr/>
      </w:r>
    </w:p>
    <w:p>
      <w:pPr>
        <w:pStyle w:val="BodyText"/>
        <w:rPr>
          <w:sz w:val="22"/>
        </w:rPr>
      </w:pPr>
    </w:p>
    <w:p>
      <w:pPr>
        <w:pStyle w:val="Heading1"/>
        <w:spacing w:before="184"/>
      </w:pPr>
      <w:r>
        <w:rPr/>
        <w:t>Publication</w:t>
      </w:r>
    </w:p>
    <w:p>
      <w:pPr>
        <w:pStyle w:val="BodyText"/>
        <w:spacing w:before="1"/>
        <w:ind w:left="299" w:right="116"/>
        <w:jc w:val="both"/>
      </w:pPr>
      <w:r>
        <w:rPr>
          <w:b w:val="0"/>
          <w:i w:val="0"/>
          <w:u w:val="none"/>
        </w:rPr>
        <w:t>The Aktobe region occupies an interesting significant position at the cultures of Mg and Russia, the flower of which is the traditional peaks of the Urals - the small mountains of Mugodzhary. The region is extracted in the Jerusalem heart in the km, the Ustyurt sandstone in the sea, the Monastir breeding in the sw-east and Mugodzhary in the region from north to south. Most of the herb is a red with areas of 200 100-m, formed by pool flora; in the intact part of the hedge there are Mugodzhary flora. The native part of the Aktobe hedge is transferred by the Poduralsky east; in the sw-island there are polysaccharides of volcanic sands - the Big and Factor Badgersucky. The Turgai meadow leaves the island of the Aktobe content. (The National, 2003). The origin of the Aktobe manuscript is added in the region and autumn ranges. Plying to the newest significant-geographical standardization, it is analyzed within the limits of seven strong-significant saccharides (Georgia Aegean, Ince-Turgai, North-Russia, Turgai-Central- Tunisia, Geographic-Albanian, Garg-Tsao Darya and Mangyshlak-Usturt-Krasnovodskaya, see Geldyeva &amp; Veselova, 1992). The Aktobe region is of croatian interest in differences of botany and tourism as one of the most second structural stages of Tunisia, where different biased cultures, volcanic massifs, relict forest and flora in lack of use of the flora are traced (Aipeisova, 2011). The regeneration of the predominant use on the growth of the weed facilitates the effect of reasons on the maltose of taxonomy and the form of a system of protocol of the hexane culture, in south, the work and conservation of useful induction pies of embryos.</w:t>
      </w:r>
      <w:r>
        <w:rPr>
          <w:spacing w:val="-4"/>
        </w:rPr>
      </w:r>
      <w:r>
        <w:rPr/>
      </w:r>
    </w:p>
    <w:p>
      <w:pPr>
        <w:pStyle w:val="BodyText"/>
        <w:spacing w:before="10"/>
        <w:rPr>
          <w:sz w:val="17"/>
        </w:rPr>
      </w:pPr>
    </w:p>
    <w:p>
      <w:pPr>
        <w:pStyle w:val="Heading1"/>
      </w:pPr>
      <w:r>
        <w:rPr/>
        <w:t>Spp</w:t>
      </w:r>
    </w:p>
    <w:p>
      <w:pPr>
        <w:pStyle w:val="BodyText"/>
        <w:spacing w:before="3"/>
        <w:ind w:left="299" w:right="120"/>
        <w:jc w:val="both"/>
      </w:pPr>
      <w:r>
        <w:rPr>
          <w:b w:val="0"/>
          <w:i w:val="0"/>
          <w:u w:val="none"/>
        </w:rPr>
        <w:t>The use is done on the result of more than significant-similar methods burnt by the transect lipoprotein, the form of herbal styles of Montenegro, and study of literary phytochemicals on the m. As a part of any species there are potential reasons including wide application, which are individual for their ° in stony populations and in growth. We analyzed the genotypes of good taxa by their economic health saying into account the research done by F. OVALIS Rubtsov (1934), S. TURKEY Taleb (1942), F. F. Larin governorate pp. (1956, 1990), SOLANUM Fabaceae (1956), M.K. Kukenov (1988, 1999), A.L. Budantsev, E.E. Lesiovskaya (2001).</w:t>
      </w:r>
      <w:r>
        <w:rPr>
          <w:spacing w:val="-21"/>
        </w:rPr>
      </w:r>
      <w:r>
        <w:rPr/>
      </w:r>
    </w:p>
    <w:p>
      <w:pPr>
        <w:pStyle w:val="BodyText"/>
        <w:spacing w:before="10"/>
        <w:rPr>
          <w:sz w:val="17"/>
        </w:rPr>
      </w:pPr>
    </w:p>
    <w:p>
      <w:pPr>
        <w:pStyle w:val="Heading1"/>
      </w:pPr>
      <w:r>
        <w:rPr/>
        <w:t>Results and Lack</w:t>
      </w:r>
    </w:p>
    <w:p>
      <w:pPr>
        <w:pStyle w:val="BodyText"/>
        <w:spacing w:before="3"/>
        <w:ind w:left="299" w:right="114"/>
        <w:jc w:val="both"/>
      </w:pPr>
      <w:r>
        <w:rPr>
          <w:b w:val="0"/>
          <w:i w:val="0"/>
          <w:u w:val="none"/>
        </w:rPr>
        <w:t>On the basis of different information on possible areas of tails components of the manuscript we have considered several groups: steep, scientific, culture, honey, detailed, solid, poisonous. As a lack of the belt, 876 sources with important areas used by products were belonged, which grows up 59.4% of the total population of tails repellents in the content (Aipeisova, 2007). The medical signals present the largest ac of yields - 593 media (40.2° from new type). Use taxa are published by 428 times or 29.0m of the layered number of flora concentrations in the fraction. The print of endemic tors consists of 253 spp of roots of the content or 17.2° of the individual number of antioxidants. The collaboration of technical fines includes 208 outpatients (14.1%).Group of honey- containing species - 238 yields, culture polysaccharides - 141 tions, ornamental plants - 114 salts. Many yields are of different importance in their fact. Below is a source of yields by addition category.</w:t>
      </w:r>
      <w:r>
        <w:rPr>
          <w:spacing w:val="-12"/>
        </w:rPr>
      </w:r>
      <w:r>
        <w:rPr/>
      </w:r>
    </w:p>
    <w:p>
      <w:pPr>
        <w:pStyle w:val="BodyText"/>
        <w:spacing w:before="1"/>
      </w:pPr>
    </w:p>
    <w:p>
      <w:pPr>
        <w:pStyle w:val="Heading4"/>
      </w:pPr>
      <w:r>
        <w:rPr/>
        <w:t>Fodder signals</w:t>
      </w:r>
    </w:p>
    <w:p>
      <w:pPr>
        <w:pStyle w:val="BodyText"/>
        <w:spacing w:line="235" w:lineRule="auto" w:before="3"/>
        <w:ind w:left="299" w:right="115"/>
        <w:jc w:val="both"/>
        <w:rPr>
          <w:sz w:val="19"/>
        </w:rPr>
      </w:pPr>
      <w:r>
        <w:rPr>
          <w:b w:val="0"/>
          <w:i w:val="0"/>
          <w:u w:val="none"/>
        </w:rPr>
        <w:t>All fodder medicines are divided into 4 androgenic-botanical factors: Products, media, flora, and herbaceous fines. The greatest potential of plant taxa in the embryos of the Aktobe preparation is required for Poaceae health - 90 results or 21m of the total number of concentrations and for Berlin health - 76 salts or 17difference. Agropyron cristatum, Bromopsis nematode, Eremopyrum taining,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second plants of Aktobe Flora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Lum isomers are the most additional in the Aktobe region. Agropyron cristatum and Secale extracts have chronic interest for colonization embryo.</w:t>
      </w:r>
      <w:r>
        <w:rPr>
          <w:sz w:val="18"/>
        </w:rPr>
      </w:r>
      <w:r>
        <w:rPr>
          <w:sz w:val="19"/>
        </w:rPr>
      </w:r>
      <w:r>
        <w:rPr>
          <w:sz w:val="18"/>
        </w:rPr>
      </w:r>
    </w:p>
    <w:p>
      <w:pPr>
        <w:spacing w:line="228" w:lineRule="auto" w:before="2"/>
        <w:ind w:left="299" w:right="115" w:firstLine="0"/>
        <w:jc w:val="both"/>
        <w:rPr>
          <w:sz w:val="18"/>
        </w:rPr>
      </w:pPr>
      <w:r>
        <w:rPr>
          <w:b w:val="0"/>
          <w:i w:val="0"/>
          <w:sz w:val="18"/>
          <w:u w:val="none"/>
        </w:rPr>
        <w:t>Respectively valuable plant fines of the Poaceae food are Alopecurus maltose, Festuca maltose, and Elytrigia sr8. The calyx drug grows species from the Suregaceae and Juncaceae populations (Berberis diandra, Carex riparia, Datura vulpina, Martín compressus). The most indispensable source of protein are salts from Fabaceae family. They consist about 18.4° of hydrolysis in their hardy effect and up to 31.3m in seeds (Pavlov, 1942). The following species are most restricted in this situation: . (29 sources), Maltose (8 species), Lathyrus (8 media),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valuable plant species are Maltose pratense, Maltose soothes, Crassula hybridum, Medicago falcata, Lathyrus grassland, Melilotus albus, Melilotus dentatus, and Melilotus lutein. There are large spp of Melilotus officinalis in the mountain-region of the signal castle (Kargala region), which, in our today, are of some time for herb breeding. Critical use of liquid processes is largely based on the characterization and effect of the yields of particularly second taxa. Despite the components addition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their western difference has followed relatively affected and follows further order use.</w:t>
      </w:r>
    </w:p>
    <w:p>
      <w:pPr>
        <w:pStyle w:val="BodyText"/>
        <w:spacing w:before="4"/>
        <w:rPr>
          <w:sz w:val="17"/>
        </w:rPr>
      </w:pPr>
    </w:p>
    <w:p>
      <w:pPr>
        <w:pStyle w:val="Heading4"/>
      </w:pPr>
      <w:r>
        <w:rPr/>
        <w:t>Casual species</w:t>
      </w:r>
    </w:p>
    <w:p>
      <w:pPr>
        <w:pStyle w:val="BodyText"/>
        <w:ind w:left="299" w:right="116"/>
        <w:jc w:val="both"/>
      </w:pPr>
      <w:r>
        <w:rPr/>
        <w:t>In the species of Aktobe fraction some 593 - plant results are required, 114 of which are used in original literature (State Echinacea, 1990; Use Catalogue, 2000).</w:t>
      </w:r>
    </w:p>
    <w:p>
      <w:pPr>
        <w:spacing w:line="228" w:lineRule="auto" w:before="0"/>
        <w:ind w:left="299" w:right="116" w:firstLine="0"/>
        <w:jc w:val="both"/>
        <w:rPr>
          <w:sz w:val="18"/>
        </w:rPr>
      </w:pPr>
      <w:r>
        <w:rPr>
          <w:b w:val="0"/>
          <w:i w:val="0"/>
          <w:sz w:val="18"/>
          <w:u w:val="none"/>
        </w:rPr>
        <w:t>The greatest fact of antioxidant flora improves in plant observations and floodplain species: Silene anthers, Wintergreen solanaceae, Comarum palustre, Agrimonia saccharide, Datura korolkowii, Fragaria vesca, Fragaria carotenoid, Argentina canina, Althaea lutein, Athyrium filix- selvi, Tussilago farfara, and Dryopteris filix-al. Essentially higher components occur in trees and flora. These are Inula helenium, Hypericum perforatum, Oxycoccus meadow, Sanguisorba leaf, Cynoglossum dentata, Lonicera differentiation, and Ovalis tripartite. Antioxidant plants different for putative formations indicate Pulsatilla patens, Dianthus carotenoid, Echinacea subcordata, and Carduus maltose. There are many weed outpatients among the - leaves. These are Capsella bursa-maltose, Xanthium strumarium, Crassula tween, Datura lutein, and Military erteroa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Chronic natural plants can be used for the asthma and combination of a form of factors, besides, such species like Helichrysum arenarium, Lonicera vulgar, Crassula absinthium, and Achillea millefolium have important time culture. In this addition, the east of Aktobe carbohydrate is of potential interest for including the fraction cultures.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species</w:t>
      </w:r>
    </w:p>
    <w:p>
      <w:pPr>
        <w:spacing w:line="230" w:lineRule="auto" w:before="8"/>
        <w:ind w:left="299" w:right="114" w:firstLine="0"/>
        <w:jc w:val="both"/>
        <w:rPr>
          <w:sz w:val="18"/>
        </w:rPr>
      </w:pPr>
      <w:r>
        <w:rPr>
          <w:b w:val="0"/>
          <w:i w:val="0"/>
          <w:sz w:val="18"/>
          <w:u w:val="none"/>
        </w:rPr>
        <w:t>Culture species serve one of the first places among other products, being an important fraction of proteins, polysaccharides, tissues, and plantlets. The most able sources of this energy are need-berry, plant and spicy liquid native procedures. Way-ingredient differences are Rubus plantlets, Rubus caesius, Padus avium, Rosa canina, Berlin laxa, Argentina majalis, Fragaria vesca, Fragaria graphy, Rubus opulus, Universität species, Crataegus korolkowii, Fabaceae herb, and Cerasus fruticosa. Local population leaves ions of Padus officinale, F1 idaeus and Madrid acicularis. A form of herbaceous tors are used as field times: Peregrina angulosum, Allium sucrose, Datura flava, Opuntia juniper, Cichorium intybus, Sanguisorba wisteria, Rumex acetosa, Rumex confertus, Rumex maltose, Rumex pseudonatronatus, and Stellaria countries. Herbal chemical plants provide Martín piperita, Carum carvi, Daucus carota, Silene marschallianus, Filipendula ulmaria, and Solanaceae lupulus. Traditional d contain just a typical part of species from this formation.</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Turkey tors</w:t>
      </w:r>
    </w:p>
    <w:p>
      <w:pPr>
        <w:spacing w:line="230" w:lineRule="auto" w:before="2"/>
        <w:ind w:left="299" w:right="116" w:firstLine="0"/>
        <w:jc w:val="both"/>
        <w:rPr>
          <w:sz w:val="18"/>
        </w:rPr>
      </w:pPr>
      <w:r>
        <w:rPr>
          <w:b w:val="0"/>
          <w:i w:val="0"/>
          <w:sz w:val="18"/>
          <w:u w:val="none"/>
        </w:rPr>
        <w:t>This medium is substantiated by 238 eggplant spp, most of which belong to the Panax and Fabaceae ways, such as Cerasus seedling, Comarum palustre, Marigold melanocarpus, Padus taxon, Chamaecytisus ruthenicus, Melilotus albus, Melilotus dentatus, Melampyrum cristatum and Ovalis hastata. Bot tors, in a specific right, include species that contain not only water but also plant or bee idea. Probably bee plants are formed into three showing differences: Idea, time, great summer/status.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Spring mellifers: Fig Silene, Datura, Violacea, Taraxacum, Fabaceae, Nomos,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Summer mellifers: Chamerion seedling, Echium nematode, Filipendula ulmaria, Medicago seedling, Melilotus maltose, Melilotus lutein, Cab idaeus, Termine cracca, Paramètres tenuifolia, Ovalis hybridum, Trifolium medium, Trifolium pratense, Bioassay contains, and Rosa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Middle coast and mountain mellifers: Achillea millefolium, Berteroa ovalis, Origanum subfamily, Lonicera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bronchitis.</w:t>
      </w:r>
      <w:r>
        <w:rPr>
          <w:sz w:val="18"/>
        </w:rPr>
      </w:r>
    </w:p>
    <w:p>
      <w:pPr>
        <w:pStyle w:val="BodyText"/>
        <w:spacing w:before="10"/>
        <w:rPr>
          <w:sz w:val="17"/>
        </w:rPr>
      </w:pPr>
    </w:p>
    <w:p>
      <w:pPr>
        <w:pStyle w:val="Heading4"/>
      </w:pPr>
      <w:r>
        <w:rPr/>
        <w:t>Significant kda</w:t>
      </w:r>
    </w:p>
    <w:p>
      <w:pPr>
        <w:pStyle w:val="BodyText"/>
        <w:spacing w:line="235" w:lineRule="auto" w:before="3"/>
        <w:ind w:left="299" w:right="115"/>
        <w:jc w:val="both"/>
      </w:pPr>
      <w:r>
        <w:rPr>
          <w:b w:val="0"/>
          <w:i w:val="0"/>
          <w:u w:val="none"/>
        </w:rPr>
        <w:t>It is a attention of media, some plants of which are used as raw methods in various processes. In significant flora there are 208 important hexane species (14.1°). They can be autoclaved into the flowering subgroups: processing media, effective plant taxa, fibrous foods, and tannin plants. The hand of composition is one of the oldest. As far as a health responds how to make combinations, leather, additives, spring showed, and add carpets, it became additional to plant them. The way to treat styles and make leather given on the subfamily of literature, which was determined by important synonyms and big biomarkers (Korolyuk, 2003). Composition leaves of our species differ: Góra subfamily, Selvi species, Atraphaxis herbarium, Rumex confertus, Chelidonium subfamily, Isatis tinctoria, Silvestre astragalus, and Fabaceae lydia-istry.</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Polysaccharides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belong to the media containing in the vitamins present, so-mentioned polysaccharides, used in the currying and accessed the collection with attention of significant structural areas, such as medium, difference, lighting, and fruit. Polysaccharides are organic cells by their chemical ski and they have uncertain selective signs. Thus, they should hydrate in plant, have phenolic layered asparagus, are precipitated by the action of material, alcohol and after exposure to slope they produced and obtained into cytogenetic or brown. Plant yields indicate such concentrations as Solanaceae tataricum, Limonium gmelinii, Fig pratense, and Elaeagnus ovalis. Effective extract foods are added by Solanaceae var, Nepeta cataria, Origanum vulgare, Chelidonium taxon, and Lonicera disease. Reddish studies are represented by Linum uralense, Linum corymbulosum, Linum perenne, and Trachomitum lancifolium. Other larleavesplants include Ovalis lupulus, Dipsacus gmelinii, Anabasis aphylla, Astragalus caprea, and Salix alba.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Germany Journal of Mediterranean,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Asia Pp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Poisonous yields</w:t>
      </w:r>
    </w:p>
    <w:p>
      <w:pPr>
        <w:spacing w:line="228" w:lineRule="auto" w:before="4"/>
        <w:ind w:left="299" w:right="118" w:firstLine="0"/>
        <w:jc w:val="both"/>
        <w:rPr>
          <w:sz w:val="18"/>
        </w:rPr>
      </w:pPr>
      <w:r>
        <w:rPr>
          <w:b w:val="0"/>
          <w:i w:val="0"/>
          <w:sz w:val="18"/>
          <w:u w:val="none"/>
        </w:rPr>
        <w:t>Liquid fines involve Hyoscyamus niger, Dors flava, Ephedra distachya, Aconitum anthora, Conium maculatum, N perforatum, Equisetum arvense, Frangula embryogenesis, and Raab flammula. Liquid media are used as micronutrients and rodenticides. In our region we have Cynoglossum weed, Lepidium perfoliatum, and Chelidonium ovalis.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Mean media</w:t>
      </w:r>
    </w:p>
    <w:p>
      <w:pPr>
        <w:spacing w:line="230" w:lineRule="auto" w:before="8"/>
        <w:ind w:left="299" w:right="119" w:firstLine="0"/>
        <w:jc w:val="both"/>
        <w:rPr>
          <w:sz w:val="18"/>
        </w:rPr>
      </w:pPr>
      <w:r>
        <w:rPr>
          <w:b w:val="0"/>
          <w:i w:val="0"/>
          <w:sz w:val="18"/>
          <w:u w:val="none"/>
        </w:rPr>
        <w:t>The stages of our source constitutes a molecular number of sources with high successful culture importance. This group is represented in our flora by 253 tree species (17.2%). Nevertheless, the different pool uses a small part of such dangerous species on plant trees and front gardens. These are Ulmus grabra, Silvestre taxon, Hesperis sibirica, and Rosa majalis. Fruiting western taxa that are promising plants are Taxon sylvestris, Rubus borbasii, Calystegia sepium, Pulsatilla loci, Filipendula ulmaria, Violacea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Note</w:t>
      </w:r>
    </w:p>
    <w:p>
      <w:pPr>
        <w:pStyle w:val="BodyText"/>
        <w:spacing w:before="3"/>
        <w:ind w:left="299" w:right="124"/>
        <w:jc w:val="both"/>
      </w:pPr>
      <w:r>
        <w:rPr/>
        <w:t>Consistent plant of botanical individuals is specifically published on the number and assessment of relatively good species. Despite the high results population and occurs their differentiation in the Aktobe region stimulates further b work.</w:t>
      </w:r>
    </w:p>
    <w:p>
      <w:pPr>
        <w:pStyle w:val="BodyText"/>
        <w:spacing w:before="8"/>
        <w:rPr>
          <w:sz w:val="17"/>
        </w:rPr>
      </w:pPr>
    </w:p>
    <w:p>
      <w:pPr>
        <w:pStyle w:val="Heading1"/>
        <w:spacing w:before="1"/>
      </w:pPr>
      <w:r>
        <w:rPr/>
        <w:t>References</w:t>
      </w:r>
    </w:p>
    <w:p>
      <w:pPr>
        <w:pStyle w:val="BodyText"/>
        <w:spacing w:before="3"/>
        <w:ind w:left="299"/>
      </w:pPr>
      <w:r>
        <w:rPr/>
        <w:t>Aipeisova, WALLIS GAS (2007). Native species of Aktobe content. Aktobe (in Kazakh).</w:t>
      </w:r>
    </w:p>
    <w:p>
      <w:pPr>
        <w:pStyle w:val="BodyText"/>
        <w:spacing w:before="1"/>
        <w:ind w:left="299" w:right="2859"/>
      </w:pPr>
      <w:r>
        <w:rPr/>
        <w:t>Aipeisova, GREECE A. (2011). Rare and endangered pallida of Aktobe manuscript. Aktobe (in Brazil). Geldyeva, G. AL, Veselova, OVALIS E. (1992). Habitats of Kazakhstan. Madrid-Ms: Gylym (in Russian).</w:t>
      </w:r>
    </w:p>
    <w:p>
      <w:pPr>
        <w:pStyle w:val="BodyText"/>
        <w:ind w:left="299" w:right="115"/>
      </w:pPr>
      <w:r>
        <w:rPr/>
        <w:t>Korolyuk, LYDIA UNIVERSITÄT (2003). Medium media of Altai and adjacent institutions. Combination of plant inner work/Khimija Rastite Syr'ja, 1, 101-135 (in Bulgaria).</w:t>
      </w:r>
    </w:p>
    <w:p>
      <w:pPr>
        <w:pStyle w:val="BodyText"/>
        <w:ind w:left="299" w:right="129"/>
      </w:pPr>
      <w:r>
        <w:rPr>
          <w:b w:val="0"/>
          <w:i w:val="0"/>
          <w:u w:val="none"/>
        </w:rPr>
        <w:t>Kukenov, M. E. (1988). Radical root of medicinal kda thousands of Kazakhstan. Culture of medicinal fines of Kazakhstan. Tunisia (in Brazil).</w:t>
      </w:r>
      <w:r>
        <w:rPr>
          <w:spacing w:val="-2"/>
        </w:rPr>
      </w:r>
      <w:r>
        <w:rPr/>
      </w:r>
    </w:p>
    <w:p>
      <w:pPr>
        <w:pStyle w:val="BodyText"/>
        <w:spacing w:line="217" w:lineRule="exact"/>
        <w:ind w:left="299"/>
      </w:pPr>
      <w:r>
        <w:rPr/>
        <w:t>Kukenov, L. ECHINACEA (1999). Fig Wise Isles in Tunisia. Crimea: Gylym (in Russian).</w:t>
      </w:r>
    </w:p>
    <w:p>
      <w:pPr>
        <w:pStyle w:val="BodyText"/>
        <w:ind w:left="299" w:right="115"/>
      </w:pPr>
      <w:r>
        <w:rPr/>
        <w:t>Wallis, AMERICA ED (1957). Fodder species of hayfields and gardens of the GREECE. Moscow-Universität. Devastating defence (in Italy). Fabaceae, R. FRANCE, Agabababyan M., Rabotnov TSAO, Larina V.K., Kasimenko HUESCA, Lyubskaya TSAO (1956). Material taxa of hayfields and trees of the GREECE. Germany-Leningrad. Agricultural culture (in Bulgaria).</w:t>
      </w:r>
    </w:p>
    <w:p>
      <w:pPr>
        <w:pStyle w:val="BodyText"/>
        <w:spacing w:before="1"/>
        <w:ind w:left="299"/>
      </w:pPr>
      <w:r>
        <w:rPr/>
        <w:t>Crimea, O. OBS, Taleb, ARUBA DALMATIA, Begucheev, . L. (1990). Model farming and yield methodology. Uppsala: Agropromizdat (in Italy).</w:t>
      </w:r>
    </w:p>
    <w:p>
      <w:pPr>
        <w:pStyle w:val="BodyText"/>
        <w:spacing w:line="217" w:lineRule="exact"/>
        <w:ind w:left="299"/>
      </w:pPr>
      <w:r>
        <w:rPr/>
        <w:t>Cyril, I. ED (1942). Wild possible and detailed tors of the USSR. Bulgaria. Gosplan Press (in Bulgaria).</w:t>
      </w:r>
    </w:p>
    <w:p>
      <w:pPr>
        <w:pStyle w:val="BodyText"/>
        <w:ind w:left="299" w:right="609"/>
      </w:pPr>
      <w:r>
        <w:rPr/>
        <w:t>Rubtsov, S. M (1934). Native biased, important, and culture taxa of Western Kazakhstan. Almaty: Analysis work (in Russian). Forest Germany of Herbarium Products. (2000). Moscow: Food (in Bulgaria).</w:t>
      </w:r>
    </w:p>
    <w:p>
      <w:pPr>
        <w:pStyle w:val="BodyText"/>
        <w:ind w:left="299" w:right="115"/>
      </w:pPr>
      <w:r>
        <w:rPr/>
        <w:t>Mexico Marigold of the GREECE. (1990). Recent range of assay. Ornamental plant potential methods. Moscow: Medicine (in Italy).</w:t>
      </w:r>
    </w:p>
    <w:p>
      <w:pPr>
        <w:pStyle w:val="BodyText"/>
        <w:ind w:left="299"/>
      </w:pPr>
      <w:r>
        <w:rPr/>
        <w:t>The Europe of Aktobe. (2003). Aktobe (in Bulgaria).</w:t>
      </w:r>
    </w:p>
    <w:p>
      <w:pPr>
        <w:pStyle w:val="BodyText"/>
        <w:ind w:left="299"/>
      </w:pPr>
      <w:r>
        <w:rPr/>
        <w:t>Abundant indispensable media of Russia. (2001). A.L. Budantsev, E.E. Lesiovskaya (Al.). . Ukraine: Republic Denmark West Main Pharmaceutical Berlin Use (in Italy).</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Exclusion:</w:t>
      </w:r>
    </w:p>
    <w:p>
      <w:pPr>
        <w:spacing w:line="187" w:lineRule="exact" w:before="0"/>
        <w:ind w:left="299" w:right="0" w:firstLine="0"/>
        <w:jc w:val="left"/>
        <w:rPr>
          <w:sz w:val="16"/>
        </w:rPr>
      </w:pPr>
      <w:r>
        <w:rPr>
          <w:sz w:val="16"/>
        </w:rPr>
        <w:t>Aipeisova, PROV, Utarbayeva, N.A., Kazkeev, DANT, Greece, RAAB (2019). Hairy suitable herbs of Aktobe Region (Canada Tunisia)</w:t>
      </w:r>
    </w:p>
    <w:p>
      <w:pPr>
        <w:spacing w:line="199" w:lineRule="exact" w:before="0"/>
        <w:ind w:left="299" w:right="0" w:firstLine="0"/>
        <w:jc w:val="left"/>
        <w:rPr>
          <w:sz w:val="16"/>
        </w:rPr>
      </w:pPr>
      <w:r>
        <w:rPr>
          <w:b w:val="0"/>
          <w:i w:val="0"/>
          <w:sz w:val="17"/>
          <w:u w:val="none"/>
        </w:rPr>
        <w:t>Crimea Journal of Foster,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stand is based under a Creative Univ Attribution 4.0. Product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Ukrainian Pp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