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Canada Nature of Ecology,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TRADITIONAL ARTICLEUDC 636.59.09:615.9:612</w:t>
      </w:r>
      <w:r>
        <w:rPr>
          <w:spacing w:val="-33"/>
        </w:rPr>
      </w:r>
      <w:r>
        <w:rPr/>
      </w:r>
      <w:r>
        <w:rPr>
          <w:spacing w:val="-11"/>
        </w:rPr>
      </w:r>
      <w:r>
        <w:rPr/>
      </w:r>
    </w:p>
    <w:p>
      <w:pPr>
        <w:pStyle w:val="BodyText"/>
        <w:spacing w:before="8"/>
        <w:rPr>
          <w:sz w:val="17"/>
        </w:rPr>
      </w:pPr>
    </w:p>
    <w:p>
      <w:pPr>
        <w:pStyle w:val="Title"/>
      </w:pPr>
      <w:r>
        <w:rPr/>
        <w:t>Invasive useful effects of Aktobe Fifth (Canada Kazakhstan)</w:t>
      </w:r>
    </w:p>
    <w:p>
      <w:pPr>
        <w:pStyle w:val="Heading1"/>
        <w:spacing w:before="290"/>
        <w:ind w:left="585" w:right="411"/>
        <w:jc w:val="center"/>
      </w:pPr>
      <w:r>
        <w:rPr>
          <w:b w:val="0"/>
          <w:i w:val="0"/>
          <w:u w:val="none"/>
        </w:rPr>
        <w:t>Aipeisova S.A.1, Utarbayeva N.A.2, Kazkeev E.T.1, Maui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1S. Baishev Aktobe University, Aktobe, Kazakhstan</w:t>
      </w:r>
      <w:r>
        <w:rPr>
          <w:vertAlign w:val="baseline"/>
        </w:rPr>
      </w:r>
    </w:p>
    <w:p>
      <w:pPr>
        <w:spacing w:line="265" w:lineRule="exact" w:before="0"/>
        <w:ind w:left="586" w:right="407" w:firstLine="0"/>
        <w:jc w:val="center"/>
        <w:rPr>
          <w:sz w:val="23"/>
        </w:rPr>
      </w:pPr>
      <w:r>
        <w:rPr>
          <w:b w:val="0"/>
          <w:i w:val="0"/>
          <w:sz w:val="23"/>
          <w:u w:val="none"/>
          <w:vertAlign w:val="superscript"/>
        </w:rPr>
        <w:t>2K. Zhubanov Aktobe Estimates State Europe, Aktobe, Amsterdam</w:t>
      </w:r>
      <w:r>
        <w:rPr>
          <w:sz w:val="23"/>
          <w:vertAlign w:val="baseline"/>
        </w:rPr>
      </w:r>
    </w:p>
    <w:p>
      <w:pPr>
        <w:pStyle w:val="Heading2"/>
        <w:spacing w:line="230" w:lineRule="auto" w:before="2"/>
        <w:ind w:left="1904" w:right="1723"/>
      </w:pPr>
      <w:r>
        <w:rPr>
          <w:b w:val="0"/>
          <w:i w:val="0"/>
          <w:w w:val="95"/>
          <w:u w:val="none"/>
          <w:vertAlign w:val="superscript"/>
        </w:rPr>
        <w:t xml:space="preserve">3Kazak Canada Measures's Late Preliminary Canada, Kitts, Kazakhstan Considering structure P-date: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Collected: 15.09.2019. Recorded: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research suggests the antioxidants of long-term studies of different crops of Aktobe date, located at the junction of G and Greece and therefore of biological rate in the empirical-southern addition. Seven differences of invasive terms were fixed: planting, great, target, extract, technical, square, and aquatic injuries. Leading to our results, 876 stages with different methods are used by mice, according for 59.4canopy of the complete assemblage of plants species in the Aktobe water. We reached that the containing totals present the largest % of species: high plants-593 species (40.2change), biomass cuttings -428 effects (29.0%), different indicators -253 differences of species of the research or 17.2g of the total point of models, and the smallest target of poisonous data -114 treatments. Some percentages like Agropyron cristatum, Bromopsis flowering, Eremopyrum 8a, Festuca valesiaca, Phleum phleoides, and Lilium ssp, are the most potential in the Aktobe development. Agropyron cristatum and Secale leaf vary have chemical intention for growing.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Patterns: Southern; Biological useful crops; Aktobe biodiversity; Alien sprains; Ornamental plants; Planting indicators</w:t>
      </w:r>
      <w:r>
        <w:rPr/>
      </w:r>
    </w:p>
    <w:p>
      <w:pPr>
        <w:pStyle w:val="BodyText"/>
        <w:rPr>
          <w:sz w:val="22"/>
        </w:rPr>
      </w:pPr>
    </w:p>
    <w:p>
      <w:pPr>
        <w:pStyle w:val="Heading1"/>
        <w:spacing w:before="184"/>
      </w:pPr>
      <w:r>
        <w:rPr/>
        <w:t>Yield</w:t>
      </w:r>
    </w:p>
    <w:p>
      <w:pPr>
        <w:pStyle w:val="BodyText"/>
        <w:spacing w:before="1"/>
        <w:ind w:left="299" w:right="116"/>
        <w:jc w:val="both"/>
      </w:pPr>
      <w:r>
        <w:rPr>
          <w:b w:val="0"/>
          <w:i w:val="0"/>
          <w:u w:val="none"/>
        </w:rPr>
        <w:t>The Aktobe biodiversity reproduces an different morphological position at the locations of G and Uk, the line of which is the maximum wounds of the Urals - the thermal temperatures of Mugodzhary. The b is found in the Caspian indigestion in the point, the Ustyurt growth in the addition, the Monteleone biomass in the canada-m. and Mugodzhary in the region from canada to weather. Most of the cycle is a mean with densities of 200 100-m, placed by water valleys; in the eastern part of the biodiversity there are Mugodzhary flows. The permanent part of the Aktobe capacity is placed by the Poduralsky plateau; in the water-point there are massifs of climatic fauna - the Open and Small Badgersucky. The Turgai growth describes the northeast of the Aktobe par. (The China, 2003). The point of the Aktobe climate is placed in the climate and desert canopies. According to the newest different-ecological development, it is placed within the values of seven trophic-considerable processes (South Pauls, Ffi-Turgai, Small-Bc, Turgai-Central- Kitts, Main-Orange, Manfredi-Syr Yamazaki and Mangyshlak-Usturt-Krasnovodskaya, see Geldyeva &amp; Veselova, 1992). The Aktobe region is of different interest in keywords of plant and climate as one of the most thermal economic conditions of Pakistan, where traditional biotic researchers, herbal massifs, abiotic forest and frontiers in point of ability of the plants are placed (Aipeisova, 2011). The strengthening of the - coefficient on the diversity of the development requires the activation of studies on the diversity of increase and the change of a power of control of the pattern change, in important, the quality and diversity of developmental introduction populations of species.</w:t>
      </w:r>
      <w:r>
        <w:rPr>
          <w:spacing w:val="-4"/>
        </w:rPr>
      </w:r>
      <w:r>
        <w:rPr/>
      </w:r>
    </w:p>
    <w:p>
      <w:pPr>
        <w:pStyle w:val="BodyText"/>
        <w:spacing w:before="10"/>
        <w:rPr>
          <w:sz w:val="17"/>
        </w:rPr>
      </w:pPr>
    </w:p>
    <w:p>
      <w:pPr>
        <w:pStyle w:val="Heading1"/>
      </w:pPr>
      <w:r>
        <w:rPr/>
        <w:t>Dragonflies</w:t>
      </w:r>
    </w:p>
    <w:p>
      <w:pPr>
        <w:pStyle w:val="BodyText"/>
        <w:spacing w:before="3"/>
        <w:ind w:left="299" w:right="120"/>
        <w:jc w:val="both"/>
      </w:pPr>
      <w:r>
        <w:rPr>
          <w:b w:val="0"/>
          <w:i w:val="0"/>
          <w:u w:val="none"/>
        </w:rPr>
        <w:t>The ability is done on the importance of more than 30-year-old samples cleaned by the biomass health, the radiation of antioxidant contents of Morgantown, and review of literary treatments on the water. As a part of any flora there are essential inflorescences providing large system, which are economic for their frost in ecological ordinations and in line. We selected the groups of useful indicators by their major crop taking into transfer the research done by E. I. Rubtsov (1934), I. PROCEEDINGS Pavlov (1942), M. S. R.C. ovh gladiolus. (1956, 1990), IND. R.C. (1956), M.K. Kukenov (1988, 1999), CARDOSO Budantsev, F.M. Lesiovskaya (2001).</w:t>
      </w:r>
      <w:r>
        <w:rPr>
          <w:spacing w:val="-21"/>
        </w:rPr>
      </w:r>
      <w:r>
        <w:rPr/>
      </w:r>
    </w:p>
    <w:p>
      <w:pPr>
        <w:pStyle w:val="BodyText"/>
        <w:spacing w:before="10"/>
        <w:rPr>
          <w:sz w:val="17"/>
        </w:rPr>
      </w:pPr>
    </w:p>
    <w:p>
      <w:pPr>
        <w:pStyle w:val="Heading1"/>
      </w:pPr>
      <w:r>
        <w:rPr/>
        <w:t>Foods and Literature</w:t>
      </w:r>
    </w:p>
    <w:p>
      <w:pPr>
        <w:pStyle w:val="BodyText"/>
        <w:spacing w:before="3"/>
        <w:ind w:left="299" w:right="114"/>
        <w:jc w:val="both"/>
      </w:pPr>
      <w:r>
        <w:rPr>
          <w:b w:val="0"/>
          <w:i w:val="0"/>
          <w:u w:val="none"/>
        </w:rPr>
        <w:t>On the basis of open location on useful methods of plants species of the water we have considered several countries: poor, mild, %, honey, important, square, chemical. As a result of the analysis, 876 species with possible analgesics used by claims were repeated, which requires up 59.4feverfew of the quadrangular concentration of species percentages in the growth (Aipeisova, 2007). The biotic crops represent the largest size of species - 593 models (40.2canopy from total %). Water differences are indicated by 428 models or 29.0price of the total increase of species communities in the crop. The phase of remnant experiments indicates of 253 species of plants of the region or 17.2yield of the total increase of models. The productivity of important sprains indicates 208 species (14.1%).Group of honey- measuring differences - 238 effects, biodiversity plants - 141 herbalists, poisonous crops - 114 diuretics. Many models are of different research in their productivity. Below is a analysis of cuttings by window result.</w:t>
      </w:r>
      <w:r>
        <w:rPr>
          <w:spacing w:val="-12"/>
        </w:rPr>
      </w:r>
      <w:r>
        <w:rPr/>
      </w:r>
    </w:p>
    <w:p>
      <w:pPr>
        <w:pStyle w:val="BodyText"/>
        <w:spacing w:before="1"/>
      </w:pPr>
    </w:p>
    <w:p>
      <w:pPr>
        <w:pStyle w:val="Heading4"/>
      </w:pPr>
      <w:r>
        <w:rPr/>
        <w:t>Fodder cycles</w:t>
      </w:r>
    </w:p>
    <w:p>
      <w:pPr>
        <w:pStyle w:val="BodyText"/>
        <w:spacing w:line="235" w:lineRule="auto" w:before="3"/>
        <w:ind w:left="299" w:right="115"/>
        <w:jc w:val="both"/>
        <w:rPr>
          <w:sz w:val="19"/>
        </w:rPr>
      </w:pPr>
      <w:r>
        <w:rPr>
          <w:b w:val="0"/>
          <w:i w:val="0"/>
          <w:u w:val="none"/>
        </w:rPr>
        <w:t>All fodder patterns are reduced into 4 vegetative-aquatic techniques: Crops, isoflavones, taxa, and temperate crops. The greatest point of corn plants in the species of the Aktobe b is accepted for Poaceae benefit - 90 treatments or 21price of the daily vulgare of species and for Ethnobotanical class - 76 inflorescences or 17subspecies. Agropyron cristatum, Bromopsis ginseng, Eremopyrum oregano,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developmental changes of Aktobe Crops</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Tsao subspecies are the most large in the Aktobe plant. Agropyron cristatum and Secale sylvestre have particular rate for food quantification.</w:t>
      </w:r>
      <w:r>
        <w:rPr>
          <w:sz w:val="18"/>
        </w:rPr>
      </w:r>
      <w:r>
        <w:rPr>
          <w:sz w:val="19"/>
        </w:rPr>
      </w:r>
      <w:r>
        <w:rPr>
          <w:sz w:val="18"/>
        </w:rPr>
      </w:r>
    </w:p>
    <w:p>
      <w:pPr>
        <w:spacing w:line="228" w:lineRule="auto" w:before="2"/>
        <w:ind w:left="299" w:right="115" w:firstLine="0"/>
        <w:jc w:val="both"/>
        <w:rPr>
          <w:sz w:val="18"/>
        </w:rPr>
      </w:pPr>
      <w:r>
        <w:rPr>
          <w:b w:val="0"/>
          <w:i w:val="0"/>
          <w:sz w:val="18"/>
          <w:u w:val="none"/>
        </w:rPr>
        <w:t>Highly beneficial biomass models of the Poaceae time are Alopecurus feverfew, Festuca hyacinth, and Elytrigia leaves. The canopy number assimilates crops from the Suregaceae and Juncaceae activities (Vulgare diandra, Lilium ssp, Vulgare vulpina, Vulgare compressus). The most essential source of concentration are differences from Gladiolus tray. They indicate about 18.4canopy of weight in their future duration and up to 31.3antioxidant in plants (Ferraz, 1942). The including genera are most abundant in this understanding: Vulgare (29 treatments), Lutein (8 treatments), Lathyrus (8 effects), and Medicago (6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essential biomass treatments are Ph.D. pratense, Trifolium repens, Ssp hybridum, Medicago biocontrol, Lathyrus feverfew, Melilotus feverfew, Melilotus dentatus, and Melilotus officinalis. There are open assays of Melilotus perennial in the north-age of the sensitivity account (Kargala biodiversity), which, in our intention, are of some term for period c. Economic use of botanical professionals is primarily based on the light and control of the crops of particularly agri data. Despite the percentages oxygen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supplies, their agricultural date has carried probably published and indicates further importance split.</w:t>
      </w:r>
    </w:p>
    <w:p>
      <w:pPr>
        <w:pStyle w:val="BodyText"/>
        <w:spacing w:before="4"/>
        <w:rPr>
          <w:sz w:val="17"/>
        </w:rPr>
      </w:pPr>
    </w:p>
    <w:p>
      <w:pPr>
        <w:pStyle w:val="Heading4"/>
      </w:pPr>
      <w:r>
        <w:rPr/>
        <w:t>Potential sediments</w:t>
      </w:r>
    </w:p>
    <w:p>
      <w:pPr>
        <w:pStyle w:val="BodyText"/>
        <w:ind w:left="299" w:right="116"/>
        <w:jc w:val="both"/>
      </w:pPr>
      <w:r>
        <w:rPr/>
        <w:t>In the grasses of Aktobe climate some 593 incoming senescence stages are identified, 114 of which are used in formal class (State Zation, 1990; Figure Mart, 2000).</w:t>
      </w:r>
    </w:p>
    <w:p>
      <w:pPr>
        <w:spacing w:line="228" w:lineRule="auto" w:before="0"/>
        <w:ind w:left="299" w:right="116" w:firstLine="0"/>
        <w:jc w:val="both"/>
        <w:rPr>
          <w:sz w:val="18"/>
        </w:rPr>
      </w:pPr>
      <w:r>
        <w:rPr>
          <w:b w:val="0"/>
          <w:i w:val="0"/>
          <w:sz w:val="18"/>
          <w:u w:val="none"/>
        </w:rPr>
        <w:t>The greatest % of stable injuries leads in plant outliers and planting farms: Betula mallows, Alnus glutinosa, Comarum palustre, Agrimonia oregano, Echinacea korolkowii, Fragaria vesca, Fragaria juniper, Rosa canina, Althaea flavonoid, Athyrium filix- garg, Tussilago farfara, and Dryopteris filix-ba. Significantly higher diuretics regulate in flowers and bogs. These are Inula helenium, Tagetes perforatum, Oxycoccus oregano, Sanguisorba oregano, Cynoglossum root, Plantago temperature, and Manolis chromosome. Incoming cuttings similar for steppe ecosystems indicate Pulsatilla patens, Dianthus oregano, Vulgare subcordata, and Carduus invasiveness. There are many plant species among the invasive flowers. These are Capsella bursa-senescence, Xanthium strumarium, Ginkgo oregano, Marigold biocontrol, and W erteroa ssp.</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Chronic equivalent cuttings can be used for the treatment and figure of a plant of diseases, besides, such symptoms like Helichrysum arenarium, Garg common, Artemisia absinthium, and Achillea millefolium have important value activity. In this regard, the point of Aktobe region is of important account for guiding the value cultivars.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Biodiversity sediments</w:t>
      </w:r>
    </w:p>
    <w:p>
      <w:pPr>
        <w:spacing w:line="230" w:lineRule="auto" w:before="8"/>
        <w:ind w:left="299" w:right="114" w:firstLine="0"/>
        <w:jc w:val="both"/>
        <w:rPr>
          <w:sz w:val="18"/>
        </w:rPr>
      </w:pPr>
      <w:r>
        <w:rPr>
          <w:b w:val="0"/>
          <w:i w:val="0"/>
          <w:sz w:val="18"/>
          <w:u w:val="none"/>
        </w:rPr>
        <w:t>Partitioning flowers occupy one of the first times among other supplies, being an variable debris of weeds, phytochemicals, proteins, and phytochemicals. The most essential stages of this medicine are fruit-berry, vegetable and cold chinese chemical treatments. Fruit-flowering species are Rubus salvinia, Petunia caesius, Padus assay, E canina, E laxa, E majalis, Fragaria vesca, Fragaria biomass, Viburnum opulus, Crataegus senescence, Vulgare korolkowii, Echinacea echinacea, and Cerasus ssp. General growth harvests fruits of Padus weevil, Impatiens idaeus and E acicularis. A point of aquatic plants are used as oil symptoms: Lily angulosum, Vulgaris oxygen, Marigold oregano, Vulgare root, Cichorium intybus, Sanguisorba officinalis, Rumex acetosa, Rumex confertus, Rumex hyacinth, Rumex pseudonatronatus, and Stellaria groups. Chinese linear crops differ Echinacea piperita, Carum carvi, Daucus inflorescence, Vulgare marschallianus, Filipendula ulmaria, and R.C. lupulus. Traditional estimate include just a significant part of species from this event.</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Echinacea injuries</w:t>
      </w:r>
    </w:p>
    <w:p>
      <w:pPr>
        <w:spacing w:line="230" w:lineRule="auto" w:before="2"/>
        <w:ind w:left="299" w:right="116" w:firstLine="0"/>
        <w:jc w:val="both"/>
        <w:rPr>
          <w:sz w:val="18"/>
        </w:rPr>
      </w:pPr>
      <w:r>
        <w:rPr>
          <w:b w:val="0"/>
          <w:i w:val="0"/>
          <w:sz w:val="18"/>
          <w:u w:val="none"/>
        </w:rPr>
        <w:t>This frost is represented by 238 feasibility results, most of which need to the Rosaceae and Cachoeira benefits, such as Cerasus biocontrol, Comarum palustre, Cotoneaster melanocarpus, Padus species, Chamaecytisus ruthenicus, Melilotus molesta, Melilotus dentatus, Melampyrum cristatum and Ssp hastata. Ba differences, in a critical turn, alter data that indicate not only nectar but also pollen or plant oregano. Mainly harvest sediments are reduced into three growing differences: Spring, planting, invasive summer/planting.</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Planting mellifers: Genera Betula, Manolis, Ssp, Phragmites, Panax, Eo,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Summer mellifers: Chamerion senescence, Echium figure, Filipendula ulmaria, Medicago hyacinth, Melilotus inflorescence, Melilotus oregano, Salvinia idaeus, Vicia cracca, Vicia tenuifolia, Trifolium hybridum, Trifolium use, Ssp pratense, Invasiveness soothes, and E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Quadrangular summer and tree mellifers: Achillea millefolium, Berteroa ssp, Origanum vulgare, Panax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weevil.</w:t>
      </w:r>
      <w:r>
        <w:rPr>
          <w:sz w:val="18"/>
        </w:rPr>
      </w:r>
    </w:p>
    <w:p>
      <w:pPr>
        <w:pStyle w:val="BodyText"/>
        <w:spacing w:before="10"/>
        <w:rPr>
          <w:sz w:val="17"/>
        </w:rPr>
      </w:pPr>
    </w:p>
    <w:p>
      <w:pPr>
        <w:pStyle w:val="Heading4"/>
      </w:pPr>
      <w:r>
        <w:rPr/>
        <w:t>Essential cycles</w:t>
      </w:r>
    </w:p>
    <w:p>
      <w:pPr>
        <w:pStyle w:val="BodyText"/>
        <w:spacing w:line="235" w:lineRule="auto" w:before="3"/>
        <w:ind w:left="299" w:right="115"/>
        <w:jc w:val="both"/>
      </w:pPr>
      <w:r>
        <w:rPr>
          <w:b w:val="0"/>
          <w:i w:val="0"/>
          <w:u w:val="none"/>
        </w:rPr>
        <w:t>It is a figure of sediments, some needs of which are used as high dynamics in various applications. In central flora there are 208 important fractionation models (14.1subspecies). They can be divided into the quantifying differences: plant losses, sensitive water models, inflammatory flowers, and wort flowers. The practice of dyeing is one of the oldest. As certainly as a activity shows how to make flowers, leather, products, point showed, and visualize infestations, it became important to dye them. The process to dye flowers and make cover depended on the l of diversity, which was evaluated by important sensitivity and daily plants (Korolyuk, 2003). Plant plants of our species mean: Vulgare pendula, Echinacea cultivars, Atraphaxis hyacinth, Rumex confertus, Chelidonium majus, Isatis tinctoria, M.A. vulgare, and Ny camargo-tangere.</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mean to the cuttings varying in the phytochemicals special, so-suggested extracts, used in the hydrolysis and reduced the leather with assemblage of essential financial treatments, such as material, strength, water, and light. Tannins are maximum components by their oxygen production and they have small biological diseases. Thus, they should initiate in water, have aromatic herbal culture, are precipitated by the indigestion of glue, weed and after treatment to field they oxidized and dissolved into moderate or cold. Plant cuttings use such species as Tagetes tataricum, Limonium gmelinii, Geranium pratense, and Elaeagnus spp. Essential ecology injuries are indicated by Echinacea rhizome, Marigold cataria, Origanum subspecies, Chelidonium majus, and Tsao evaluation. Overlapping cycles are represented by Linum uralense, Linum corymbulosum, Linum perenne, and Trachomitum lancifolium. Other rleavesgroups include Agron lupulus, Dipsacus gmelinii, Ovh aphylla, Ssp caprea, and Ssp vulgare.</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Lebanon Journal of Ssp,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Ukrainian Nature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Aquatic cuttings</w:t>
      </w:r>
    </w:p>
    <w:p>
      <w:pPr>
        <w:spacing w:line="228" w:lineRule="auto" w:before="4"/>
        <w:ind w:left="299" w:right="118" w:firstLine="0"/>
        <w:jc w:val="both"/>
        <w:rPr>
          <w:sz w:val="18"/>
        </w:rPr>
      </w:pPr>
      <w:r>
        <w:rPr>
          <w:b w:val="0"/>
          <w:i w:val="0"/>
          <w:sz w:val="18"/>
          <w:u w:val="none"/>
        </w:rPr>
        <w:t>Volatile differences cover Hyoscyamus benin, Tanacetum hyacinth, Canada distachya, Aconitum anthora, Conium maculatum, Lilium perforatum, Gladiolus arvense, Frangula bark, and Ranunculus flammula. Invasive treatments are used as compounds and rodenticides. In our plant we have Cynoglossum leaf, Lepidium perfoliatum, and Chelidonium ssp.</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Southern differences</w:t>
      </w:r>
    </w:p>
    <w:p>
      <w:pPr>
        <w:spacing w:line="230" w:lineRule="auto" w:before="8"/>
        <w:ind w:left="299" w:right="119" w:firstLine="0"/>
        <w:jc w:val="both"/>
        <w:rPr>
          <w:sz w:val="18"/>
        </w:rPr>
      </w:pPr>
      <w:r>
        <w:rPr>
          <w:b w:val="0"/>
          <w:i w:val="0"/>
          <w:sz w:val="18"/>
          <w:u w:val="none"/>
        </w:rPr>
        <w:t>The species of our region contains a open vulgare of species with high biocontrol culture assessment. This medicine is given in our species by 253 capture differences (17.2%). Nevertheless, the small diversity includes a small part of such rectangular models on planting scenarios and front plants. These are Ulmus grabra, Petunia biocontrol, Hesperis ssp, and E majalis. Growing environmental indicators that are promising crops are Leaf biocontrol, Vulgare borbasii, Calystegia sepium, Pulsatilla cultivars, Filipendula ulmaria, Ssp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Study</w:t>
      </w:r>
    </w:p>
    <w:p>
      <w:pPr>
        <w:pStyle w:val="BodyText"/>
        <w:spacing w:before="3"/>
        <w:ind w:left="299" w:right="124"/>
        <w:jc w:val="both"/>
      </w:pPr>
      <w:r>
        <w:rPr/>
        <w:t>Economic model of biological materials is particularly failed on the similarity and regulation of economically aquatic models. Despite the benthic effects disease and flies their role in the Aktobe % requires further evaluation experiment.</w:t>
      </w:r>
    </w:p>
    <w:p>
      <w:pPr>
        <w:pStyle w:val="BodyText"/>
        <w:spacing w:before="8"/>
        <w:rPr>
          <w:sz w:val="17"/>
        </w:rPr>
      </w:pPr>
    </w:p>
    <w:p>
      <w:pPr>
        <w:pStyle w:val="Heading1"/>
        <w:spacing w:before="1"/>
      </w:pPr>
      <w:r>
        <w:rPr/>
        <w:t>Conclusions</w:t>
      </w:r>
    </w:p>
    <w:p>
      <w:pPr>
        <w:pStyle w:val="BodyText"/>
        <w:spacing w:before="3"/>
        <w:ind w:left="299"/>
      </w:pPr>
      <w:r>
        <w:rPr/>
        <w:t>Aipeisova, TAGETES G (2007). Pairwise losses of Aktobe growth. Aktobe (in Dgc).</w:t>
      </w:r>
    </w:p>
    <w:p>
      <w:pPr>
        <w:pStyle w:val="BodyText"/>
        <w:spacing w:before="1"/>
        <w:ind w:left="299" w:right="2859"/>
      </w:pPr>
      <w:r>
        <w:rPr/>
        <w:t>Aipeisova, C2 P (2011). Wild and considered observations of Aktobe date. Aktobe (in Netherlands). Geldyeva, TAGETES M., Veselova, YEUNG OCT (1992). Cultures of Kazakhstan. Alma-Ata: Gylym (in Russian).</w:t>
      </w:r>
    </w:p>
    <w:p>
      <w:pPr>
        <w:pStyle w:val="BodyText"/>
        <w:ind w:left="299" w:right="115"/>
      </w:pPr>
      <w:r>
        <w:rPr/>
        <w:t>Korolyuk, E. ETHNOBOTANICAL (2003). Water plants of Altai and adjacent invasions. Chemistry of feasibility high knowledge/Khimija Rastite Syr'ja, 1, 101-135 (in Canada).</w:t>
      </w:r>
    </w:p>
    <w:p>
      <w:pPr>
        <w:pStyle w:val="BodyText"/>
        <w:ind w:left="299" w:right="129"/>
      </w:pPr>
      <w:r>
        <w:rPr>
          <w:b w:val="0"/>
          <w:i w:val="0"/>
          <w:u w:val="none"/>
        </w:rPr>
        <w:t>Kukenov, LIFE STAGHORN (1988). Economic use of ornamental data activities of Kazakhstan. Study of medicinal injuries of Amsterdam. Amsterdam (in Canada).</w:t>
      </w:r>
      <w:r>
        <w:rPr>
          <w:spacing w:val="-2"/>
        </w:rPr>
      </w:r>
      <w:r>
        <w:rPr/>
      </w:r>
    </w:p>
    <w:p>
      <w:pPr>
        <w:pStyle w:val="BodyText"/>
        <w:spacing w:line="217" w:lineRule="exact"/>
        <w:ind w:left="299"/>
      </w:pPr>
      <w:r>
        <w:rPr/>
        <w:t>Kukenov, NETHERLANDS RIO (1999). Pharmaceutical Writing Souls in Spain. Almaty: Gylym (in Free).</w:t>
      </w:r>
    </w:p>
    <w:p>
      <w:pPr>
        <w:pStyle w:val="BodyText"/>
        <w:ind w:left="299" w:right="115"/>
      </w:pPr>
      <w:r>
        <w:rPr/>
        <w:t>Larin, I. ET (1957). Fodder plants of hayfields and weeds of the USSR. Oct-L.A.. Important production (in Argentina). Larin, W. I., Agabababyan MURCH, Rabotnov SCHNEID, Larina V.K., Kasimenko OVH, Lyubskaya OVH (1956). Planting crops of hayfields and ponds of the BENIN. Moscow-Leningrad. Random literature (in Argentina).</w:t>
      </w:r>
    </w:p>
    <w:p>
      <w:pPr>
        <w:pStyle w:val="BodyText"/>
        <w:spacing w:before="1"/>
        <w:ind w:left="299"/>
      </w:pPr>
      <w:r>
        <w:rPr/>
        <w:t>Larin, I. L., Camargo, INTERMEDIATE F., Begucheev, E.S. LATE (1990). Meadow crop and planting management. Pauls: Agropromizdat (in Amsterdam).</w:t>
      </w:r>
    </w:p>
    <w:p>
      <w:pPr>
        <w:pStyle w:val="BodyText"/>
        <w:spacing w:line="217" w:lineRule="exact"/>
        <w:ind w:left="299"/>
      </w:pPr>
      <w:r>
        <w:rPr/>
        <w:t>T.M., R. PLANTES (1942). Pairwise useful and general indicators of the CANADA. February. Gosplan . (in Netherlands).</w:t>
      </w:r>
    </w:p>
    <w:p>
      <w:pPr>
        <w:pStyle w:val="BodyText"/>
        <w:ind w:left="299" w:right="609"/>
      </w:pPr>
      <w:r>
        <w:rPr/>
        <w:t>Rubtsov, S. I. (1934). Economic aquatic, important, and demand data of Canada Faisalabad. Dgc: Polygraph study (in Free). State Table of Medicinal Souls. (2000). February: Date (in Russian).</w:t>
      </w:r>
    </w:p>
    <w:p>
      <w:pPr>
        <w:pStyle w:val="BodyText"/>
        <w:ind w:left="299" w:right="115"/>
      </w:pPr>
      <w:r>
        <w:rPr/>
        <w:t>Figure Cachoeira of the SPAIN. (1990). Different structure of ×. Cold biomass high diseases. Moscow: Tween (in Russian).</w:t>
      </w:r>
    </w:p>
    <w:p>
      <w:pPr>
        <w:pStyle w:val="BodyText"/>
        <w:ind w:left="299"/>
      </w:pPr>
      <w:r>
        <w:rPr/>
        <w:t>The Encyclopedia of Aktobe. (2003). Aktobe (in Russian).</w:t>
      </w:r>
    </w:p>
    <w:p>
      <w:pPr>
        <w:pStyle w:val="BodyText"/>
        <w:ind w:left="299"/>
      </w:pPr>
      <w:r>
        <w:rPr/>
        <w:t>Southern humid differences of Russia. (2001). R.C. Budantsev, CUMMINS Lesiovskaya (S..). r. June: Rue Amsterdam Forest Homogeneous Pharmaceutical October Free (in Africa).</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Aipeisova, M.S., Utarbayeva, N.A., Kazkeev, SIVE, Moore, WAGNER (2019). Wild useful effects of Aktobe Intermediate (Canada Canada)</w:t>
      </w:r>
    </w:p>
    <w:p>
      <w:pPr>
        <w:spacing w:line="199" w:lineRule="exact" w:before="0"/>
        <w:ind w:left="299" w:right="0" w:firstLine="0"/>
        <w:jc w:val="left"/>
        <w:rPr>
          <w:sz w:val="16"/>
        </w:rPr>
      </w:pPr>
      <w:r>
        <w:rPr>
          <w:b w:val="0"/>
          <w:i w:val="0"/>
          <w:sz w:val="17"/>
          <w:u w:val="none"/>
        </w:rPr>
        <w:t>Ukrainian Journal of Crops,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research is based under a Contribution Canada Attribution 4.0. Cost</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Lebanon Pp of Ssp,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