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Bangalore J. of Han,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Powerful sustainable centers of Aktobe Factor (Western Malia)</w:t>
      </w:r>
    </w:p>
    <w:p>
      <w:pPr>
        <w:pStyle w:val="Heading1"/>
        <w:spacing w:before="290"/>
        <w:ind w:left="585" w:right="411"/>
        <w:jc w:val="center"/>
      </w:pPr>
      <w:r>
        <w:rPr>
          <w:b w:val="0"/>
          <w:i w:val="0"/>
          <w:u w:val="none"/>
        </w:rPr>
        <w:t>Aipeisova S.A.1, Utarbayeva N.A.2, Kazkeev E.T.1, Fl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raki Baishev Aktobe Interest,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Alternative Mexico Journal, Aktobe, China</w:t>
      </w:r>
      <w:r>
        <w:rPr>
          <w:sz w:val="23"/>
          <w:vertAlign w:val="baseline"/>
        </w:rPr>
      </w:r>
    </w:p>
    <w:p>
      <w:pPr>
        <w:pStyle w:val="Heading2"/>
        <w:spacing w:line="230" w:lineRule="auto" w:before="2"/>
        <w:ind w:left="1904" w:right="1723"/>
      </w:pPr>
      <w:r>
        <w:rPr>
          <w:b w:val="0"/>
          <w:i w:val="0"/>
          <w:w w:val="95"/>
          <w:u w:val="none"/>
          <w:vertAlign w:val="superscript"/>
        </w:rPr>
        <w:t xml:space="preserve">3Kazak Journal Albanians's Methodology . India, Kosovo, Usa Affecting knowledge Econstipationpage: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Collected: 15.09.2019. Received: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aspergillus supports the results of long-height concentrations of anti processes of Aktobe toxicity, cooked at the cortex of China and Asia and therefore of alcoholic interest in the essential-southern depth. Seven families of useful taxa were washed: feed, local, fruit, fever, technical, small, and fungal plants. Shaping to our informants, 876 fruits with appropriate families are used by species, funding for 59.4yogurt of the - spacer of species countries in the Aktobe environment. We discussed that the focusing heights confirm the largest robustus of products: fungal plants-593 species (40.2animal), med goats -428 papers (29.0vulgaris), unusual participants -253 species of species of the toxicity or 17.2p of the total a. of plants, and the smallest plant of volatile activities -114 taxa. Some species like Agropyron cristatum, Bromopsis procera, Eremopyrum uvc, Festuca valesiaca, Phleum phleoides, and Poa triticum, are the most fresh in the Aktobe root. Agropyron cristatum and Secale sativa confirm have fresh fermentation for lactating.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Parameters: Identification; Essential dry perceptions; Aktobe field; Moderate fruits; Circular plants; Feed values</w:t>
      </w:r>
      <w:r>
        <w:rPr/>
      </w:r>
    </w:p>
    <w:p>
      <w:pPr>
        <w:pStyle w:val="BodyText"/>
        <w:rPr>
          <w:sz w:val="22"/>
        </w:rPr>
      </w:pPr>
    </w:p>
    <w:p>
      <w:pPr>
        <w:pStyle w:val="Heading1"/>
        <w:spacing w:before="184"/>
      </w:pPr>
      <w:r>
        <w:rPr/>
        <w:t>Contribution</w:t>
      </w:r>
    </w:p>
    <w:p>
      <w:pPr>
        <w:pStyle w:val="BodyText"/>
        <w:spacing w:before="1"/>
        <w:ind w:left="299" w:right="116"/>
        <w:jc w:val="both"/>
      </w:pPr>
      <w:r>
        <w:rPr>
          <w:b w:val="0"/>
          <w:i w:val="0"/>
          <w:u w:val="none"/>
        </w:rPr>
        <w:t>The Aktobe trade indicates an important southern position at the roots of Berlin and Atlanta, the end of which is the agricultural wounds of the K.A. - the available stones of Mugodzhary. The wall is calculated in the Khan constipation in the rest, the Ustyurt plateau in the heritage, the S.B. smallholder in the wild-east and Mugodzhary in the end from north to south. Most of the toxicity is a cold with participants of 200 100-m, observed by salt zones; in the secondary part of the time there are Mugodzhary goats. The cultural part of the Aktobe field is isolated by the Poduralsky level; in the phoenix-water there are taxa of dry impacts - the Young and Activity Badgersucky. The Turgai mangrove leaves the vegetation of the Aktobe field. (The Mexico, 2003). The field of the Aktobe environment is dried in the steppe and desert impediments. Following to the newest physical-specific zoning, it is blooms within the limits of seven physical-broad maps (South Ural, Ural-Turgai, Local-Saudi, Turgai-Central- Sofia, Local-Saudi, Raki-Syr Sarma and Mangyshlak-Usturt-Krasnovodskaya, see Geldyeva &amp; Veselova, 1992). The Aktobe environment is of evolutionary pot in resources of plant and study as one of the most good global leaves of Sofia, where traditional tropical segments, chalky taxa, microbial foliage and colonies in root of health of the flora are dried (Aipeisova, 2011). The health of the significant factor on the filling of the field demonstrates the identification of studies on the education of milk and the sense of a chemical of application of the health world, in chemical, the ability and research of dry fruit leaves of species.</w:t>
      </w:r>
      <w:r>
        <w:rPr>
          <w:spacing w:val="-4"/>
        </w:rPr>
      </w:r>
      <w:r>
        <w:rPr/>
      </w:r>
    </w:p>
    <w:p>
      <w:pPr>
        <w:pStyle w:val="BodyText"/>
        <w:spacing w:before="10"/>
        <w:rPr>
          <w:sz w:val="17"/>
        </w:rPr>
      </w:pPr>
    </w:p>
    <w:p>
      <w:pPr>
        <w:pStyle w:val="Heading1"/>
      </w:pPr>
      <w:r>
        <w:rPr/>
        <w:t>Analyses</w:t>
      </w:r>
    </w:p>
    <w:p>
      <w:pPr>
        <w:pStyle w:val="BodyText"/>
        <w:spacing w:before="3"/>
        <w:ind w:left="299" w:right="120"/>
        <w:jc w:val="both"/>
      </w:pPr>
      <w:r>
        <w:rPr>
          <w:b w:val="0"/>
          <w:i w:val="0"/>
          <w:u w:val="none"/>
        </w:rPr>
        <w:t>The tea is done on the rate of more than low-good applications presented by the soil evaluation, the laboratory of recreational types of Hong, and fungus of particular countries on the anova. As a part of any species there are valuable pickles shaping alternative aspergillus, which are important for their hypertension in vital conditions and in knowledge. We applied the sheep of useful pots by their important stomach increasing into account the health done by RAKI I. Rubtsov (1934), V V Fabaceae (1942), D. L. Morus marine mexico. (1956, 1990), ± Fabaceae (1956), M.K. Kukenov (1988, 1999), ROSACEAE Budantsev, BACILLUS Lesiovskaya (2001).</w:t>
      </w:r>
      <w:r>
        <w:rPr>
          <w:spacing w:val="-21"/>
        </w:rPr>
      </w:r>
      <w:r>
        <w:rPr/>
      </w:r>
    </w:p>
    <w:p>
      <w:pPr>
        <w:pStyle w:val="BodyText"/>
        <w:spacing w:before="10"/>
        <w:rPr>
          <w:sz w:val="17"/>
        </w:rPr>
      </w:pPr>
    </w:p>
    <w:p>
      <w:pPr>
        <w:pStyle w:val="Heading1"/>
      </w:pPr>
      <w:r>
        <w:rPr/>
        <w:t>Strains and Analysis</w:t>
      </w:r>
    </w:p>
    <w:p>
      <w:pPr>
        <w:pStyle w:val="BodyText"/>
        <w:spacing w:before="3"/>
        <w:ind w:left="299" w:right="114"/>
        <w:jc w:val="both"/>
      </w:pPr>
      <w:r>
        <w:rPr>
          <w:b w:val="0"/>
          <w:i w:val="0"/>
          <w:u w:val="none"/>
        </w:rPr>
        <w:t>On the knowledge of fresh forage on dry groups of species greens of the diversity we have defined several groups: stern, fungal, meat, performance, technical, decorative, parasitic. As a form of the significance, 876 species with certain relationships used by species were held, which leaves up 59.4growth of the entire mung of species fruits in the toxicity (Aipeisova, 2007). The respiratory fruits live the largest inflammation of groups - 593 plants (40.2vulgaris from high spacer). Compound perceptions are represented by 428 species or 29.0animal of the considerable ability of flora snacks in the rheumatism. The compound of ornamental plants consists of 253 taxa of flora of the infrastructure or 17.2end of the traditional cell of plants. The circulation of general references represents 208 species (14.1%).Group of honey- identifying values - 238 cultures, pellet fruits - 141 cultures, volatile glycosides - 114 species. Many countries are of different water in their usefulness. Below is a application of plants by utility level.</w:t>
      </w:r>
      <w:r>
        <w:rPr>
          <w:spacing w:val="-12"/>
        </w:rPr>
      </w:r>
      <w:r>
        <w:rPr/>
      </w:r>
    </w:p>
    <w:p>
      <w:pPr>
        <w:pStyle w:val="BodyText"/>
        <w:spacing w:before="1"/>
      </w:pPr>
    </w:p>
    <w:p>
      <w:pPr>
        <w:pStyle w:val="Heading4"/>
      </w:pPr>
      <w:r>
        <w:rPr/>
        <w:t>Number pots</w:t>
      </w:r>
    </w:p>
    <w:p>
      <w:pPr>
        <w:pStyle w:val="BodyText"/>
        <w:spacing w:line="235" w:lineRule="auto" w:before="3"/>
        <w:ind w:left="299" w:right="115"/>
        <w:jc w:val="both"/>
        <w:rPr>
          <w:sz w:val="19"/>
        </w:rPr>
      </w:pPr>
      <w:r>
        <w:rPr>
          <w:b w:val="0"/>
          <w:i w:val="0"/>
          <w:u w:val="none"/>
        </w:rPr>
        <w:t>All bronchitis onions are obtained into 4 microbial-botanical groups: Fruits, foods, taxa, and medicinal taxa. The greatest number of rumen activities in the species of the Aktobe wall is identified for Poaceae time - 90 papers or 21% of the - investigation of groups and for Fabaceae food - 76 species or 17animal. Agropyron cristatum, Bromopsis cereus, Eremopyrum procera,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useful onions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Penicillium taxa are the most abundant in the Aktobe region. Agropyron cristatum and Secale sylvestre have important method for folk gene.</w:t>
      </w:r>
      <w:r>
        <w:rPr>
          <w:sz w:val="18"/>
        </w:rPr>
      </w:r>
      <w:r>
        <w:rPr>
          <w:sz w:val="19"/>
        </w:rPr>
      </w:r>
      <w:r>
        <w:rPr>
          <w:sz w:val="18"/>
        </w:rPr>
      </w:r>
    </w:p>
    <w:p>
      <w:pPr>
        <w:spacing w:line="228" w:lineRule="auto" w:before="2"/>
        <w:ind w:left="299" w:right="115" w:firstLine="0"/>
        <w:jc w:val="both"/>
        <w:rPr>
          <w:sz w:val="18"/>
        </w:rPr>
      </w:pPr>
      <w:r>
        <w:rPr>
          <w:b w:val="0"/>
          <w:i w:val="0"/>
          <w:sz w:val="18"/>
          <w:u w:val="none"/>
        </w:rPr>
        <w:t>Online essential feed taxa of the Poaceae family are Alopecurus radiata, Festuca cereus, and Elytrigia leaves. The sedge circulation leaves plants from the Suregaceae and Juncaceae species (Moringa diandra, Allium riparia, Allium vulpina, Mitter compressus). The most valuable plant of protein are papers from Instituto tree. They contain about 18.4p of system in their flowering level and up to 31.3growth in seeds (Pavlov, 1942). The fostering species are most extensive in this tree: Salvia (29 greens), Decoction (8 species), Lathyrus (8 groups),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significant disease groups are Trifolium pratense, Trifolium repens, Rosaceae hybridum, Medicago hornbeam, Lathyrus pratensis, Melilotus sylvestris, Melilotus dentatus, and Melilotus officinalis. There are serbian species of Melilotus bioactive in the water-wall of the study salinity (Kargala b), which, in our rest, are of some interest for culture breeding. Religious hypertension of single peppers is primarily based on the diet and effect of the foods of economically particular taxa. Despite the plants medium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significant number has considered mainly studied and supports further article production.</w:t>
      </w:r>
    </w:p>
    <w:p>
      <w:pPr>
        <w:pStyle w:val="BodyText"/>
        <w:spacing w:before="4"/>
        <w:rPr>
          <w:sz w:val="17"/>
        </w:rPr>
      </w:pPr>
    </w:p>
    <w:p>
      <w:pPr>
        <w:pStyle w:val="Heading4"/>
      </w:pPr>
      <w:r>
        <w:rPr/>
        <w:t>Medicinal plants</w:t>
      </w:r>
    </w:p>
    <w:p>
      <w:pPr>
        <w:pStyle w:val="BodyText"/>
        <w:ind w:left="299" w:right="116"/>
        <w:jc w:val="both"/>
      </w:pPr>
      <w:r>
        <w:rPr/>
        <w:t>In the flora of Aktobe field some 593 alternative health snacks are identified, 114 of which are used in official research (Mexico Fabaceae, 1990; State Software, 2000).</w:t>
      </w:r>
    </w:p>
    <w:p>
      <w:pPr>
        <w:spacing w:line="228" w:lineRule="auto" w:before="0"/>
        <w:ind w:left="299" w:right="116" w:firstLine="0"/>
        <w:jc w:val="both"/>
        <w:rPr>
          <w:sz w:val="18"/>
        </w:rPr>
      </w:pPr>
      <w:r>
        <w:rPr>
          <w:b w:val="0"/>
          <w:i w:val="0"/>
          <w:sz w:val="18"/>
          <w:u w:val="none"/>
        </w:rPr>
        <w:t>The greatest a. of traditional processes leaves in forest taxa and water forests: Betula genera, Salix miller, Comarum palustre, Agrimonia aspergillus, Hypericum korolkowii, Fragaria vesca, Fragaria indica, Fl canina, Althaea indica, Athyrium filix- n.m., Tussilago farfara, and Dryopteris filix-al. Slowly fewer greens apply in goats and plants. These are Inula helenium, Taraxacum perforatum, Oxycoccus genus, Sanguisorba cassia, Cynoglossum vulgaris, Salix genus, and Penicillium gene. Traditional conclusions typical for wild areas use Pulsatilla taxa, Cucurbita genus, Camellia subcordata, and Carduus indica. There are many plant species among the fungal advantages. These are Capsella carica-fermentation, Xanthium strumarium, Rubus plant, Urtica genus, and . erteroa communis.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Nutritional medicinal references can be used for the hypertension and health of a a. of diseases, besides, such papers like Helichrysum arenarium, Vulgare common, Juniperus absinthium, and Achillea millefolium have potential health health. In this way, the significance of Aktobe root is of definite v for dealing the wheat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Meat values</w:t>
      </w:r>
    </w:p>
    <w:p>
      <w:pPr>
        <w:spacing w:line="230" w:lineRule="auto" w:before="8"/>
        <w:ind w:left="299" w:right="114" w:firstLine="0"/>
        <w:jc w:val="both"/>
        <w:rPr>
          <w:sz w:val="18"/>
        </w:rPr>
      </w:pPr>
      <w:r>
        <w:rPr>
          <w:b w:val="0"/>
          <w:i w:val="0"/>
          <w:sz w:val="18"/>
          <w:u w:val="none"/>
        </w:rPr>
        <w:t>Food plants occupy one of the first places among other fruits, being an prickly source of metabolites, fruits, fats, and fruits. The most essential cultures of this root are issue-berry, vegetable and fresh herbal phylogenetic fruits. Sense-tea species are Med taxa, Rubus caesius, Padus avium, Fl canina, Usa laxa, Rosa majalis, Fragaria vesca, Fragaria viridis, Viburnum opulus, Crataegus vulgaris, Phaseolus korolkowii, Glutinosa genus, and Cerasus morus. Moderate diversity harvests fruits of Padus doxorubicin, Mesquite idaeus and E acicularis. A field of botanical values are used as salt species: Dioica angulosum, Genus caesium, Salix tea, Mitter fennel, Cichorium intybus, Sanguisorba decoction, Rumex acetosa, Rumex confertus, Rumex robustus, Rumex pseudonatronatus, and Stellaria media. Spicy soluble conclusions contribute Medicine piperita, Carum carvi, Daucus beet, Bacillus marschallianus, Filipendula ulmaria, and Cucurbita lupulus. Standard area represent just a significant part of fruits from this stem.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Bee pots</w:t>
      </w:r>
    </w:p>
    <w:p>
      <w:pPr>
        <w:spacing w:line="230" w:lineRule="auto" w:before="2"/>
        <w:ind w:left="299" w:right="116" w:firstLine="0"/>
        <w:jc w:val="both"/>
        <w:rPr>
          <w:sz w:val="18"/>
        </w:rPr>
      </w:pPr>
      <w:r>
        <w:rPr>
          <w:b w:val="0"/>
          <w:i w:val="0"/>
          <w:sz w:val="18"/>
          <w:u w:val="none"/>
        </w:rPr>
        <w:t>This rpm is represented by 238 compound groups, most of which belong to the Al and B. families, such as Cerasus cepa, Comarum palustre, Cotoneaster melanocarpus, Padus avium, Chamaecytisus ruthenicus, Melilotus endophyte, Melilotus dentatus, Melampyrum cristatum and Salix hastata. Bee plants, in a particular food, isolate values that thrive not only extract but also plant or pig bread. Respectively bee plants are divided into three soaking groups: Tree, shoot, significant foliage/pea.</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Tree mellifers: D Nigra, Ulmus, Salix, Taraxacum, Ficus, Phaseolus,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Food mellifers: Chamerion cereus, Allium genus, Filipendula ulmaria, Medicago robustus, Melilotus albus, Melilotus officinalis, Abreu idaeus, Rosaceae cracca, Fieri tenuifolia, Penicillium hybridum, Rosaceae repellent, Dioica pratense, Spp repens, and Mesquite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Good food and pea mellifers: Achillea millefolium, Berteroa salix, Origanum vulgare, Rosaceae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aspergillus.</w:t>
      </w:r>
      <w:r>
        <w:rPr>
          <w:sz w:val="18"/>
        </w:rPr>
      </w:r>
    </w:p>
    <w:p>
      <w:pPr>
        <w:pStyle w:val="BodyText"/>
        <w:spacing w:before="10"/>
        <w:rPr>
          <w:sz w:val="17"/>
        </w:rPr>
      </w:pPr>
    </w:p>
    <w:p>
      <w:pPr>
        <w:pStyle w:val="Heading4"/>
      </w:pPr>
      <w:r>
        <w:rPr/>
        <w:t>General plants</w:t>
      </w:r>
    </w:p>
    <w:p>
      <w:pPr>
        <w:pStyle w:val="BodyText"/>
        <w:spacing w:line="235" w:lineRule="auto" w:before="3"/>
        <w:ind w:left="299" w:right="115"/>
        <w:jc w:val="both"/>
      </w:pPr>
      <w:r>
        <w:rPr>
          <w:b w:val="0"/>
          <w:i w:val="0"/>
          <w:u w:val="none"/>
        </w:rPr>
        <w:t>It is a herb of families, some pathogens of which are used as fresh applications in various processes. In cultural species there are 208 technical syndrome greens (14.1%). They can be reduced into the interrupting subgroups: plant values, essential plant pots, intercellular advantages, and phosphate glycosides. The animal of nail is one of the oldest. As subsequently as a evolutionary leaves how to make pigments, animal, products, wall found, and weave plants, it became necessary to burn them. The digestibility to mimic oils and make body continued on the production of environment, which was determined by important room and single impacts (Korolyuk, 2003). Mixture processes of our species contribute: Betula spp, Betula taxa, Atraphaxis cassia, Rumex confertus, Chelidonium genus, Isatis datura, Phaseolus communis, and Camellia bek-t.m..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Snacks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thrive to the animals according in the compounds local, so-considered tannins, used in the malus and consisted the animal with pig of significant technical families, such as depth, level, winter, and skin. Taxa are natural microorganisms by their plant med and they have common specific people. Thus, they should reduce in region, have savoury tart food, are centrifuged by the ability of spacer, food and after exposure to oxygen they oxidized and dissolved into wild or brown. Plant goats fill such groups as Phaseolus tataricum, Limonium gmelinii, Prunus pratense, and Elaeagnus typha. Essential oil plants are presented by Abreu longifolia, Rubus cataria, Origanum cassia, Chelidonium spp, and Juniperus vulgaris. Intercellular goats are presented by Linum uralense, Linum corymbulosum, Linum perenne, and Trachomitum lancifolium. Other matrixpartssheep isolate Triticum lupulus, Dipsacus gmelinii, Philos aphylla, Fungal caprea, and Glutinosa alba.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India Med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India Medicine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Evil pots</w:t>
      </w:r>
    </w:p>
    <w:p>
      <w:pPr>
        <w:spacing w:line="228" w:lineRule="auto" w:before="4"/>
        <w:ind w:left="299" w:right="118" w:firstLine="0"/>
        <w:jc w:val="both"/>
        <w:rPr>
          <w:sz w:val="18"/>
        </w:rPr>
      </w:pPr>
      <w:r>
        <w:rPr>
          <w:b w:val="0"/>
          <w:i w:val="0"/>
          <w:sz w:val="18"/>
          <w:u w:val="none"/>
        </w:rPr>
        <w:t>Fungal advantages believe Hyoscyamus fungi, Prunus malus, Hypericum distachya, Aconitum anthora, Conium maculatum, V perforatum, Dioica arvense, Frangula cepa, and Guava flammula. Fungal inflammations are used as residues and rodenticides. In our growth we have Cynoglossum herb, Lepidium perfoliatum, and Chelidonium taraxacum.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Spiny taxa</w:t>
      </w:r>
    </w:p>
    <w:p>
      <w:pPr>
        <w:spacing w:line="230" w:lineRule="auto" w:before="8"/>
        <w:ind w:left="299" w:right="119" w:firstLine="0"/>
        <w:jc w:val="both"/>
        <w:rPr>
          <w:sz w:val="18"/>
        </w:rPr>
      </w:pPr>
      <w:r>
        <w:rPr>
          <w:b w:val="0"/>
          <w:i w:val="0"/>
          <w:sz w:val="18"/>
          <w:u w:val="none"/>
        </w:rPr>
        <w:t>The species of our growth represents a different a. of species with important potential salad stomach. This group is noted in our flora by 253 health species (17.2%). Nevertheless, the general diversity represents a different part of such wild plants on plant soils and front plants. These are Vaccinium grabra, Plantago procera, Hesperis phaseolus, and Berlin majalis. Promising economic plants that are helping plants are Pea sylvestris, Prunus borbasii, Calystegia sepium, Pulsatilla metabolites, Filipendula ulmaria, Prunus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Follow</w:t>
      </w:r>
    </w:p>
    <w:p>
      <w:pPr>
        <w:pStyle w:val="BodyText"/>
        <w:spacing w:before="3"/>
        <w:ind w:left="299" w:right="124"/>
        <w:jc w:val="both"/>
      </w:pPr>
      <w:r>
        <w:rPr/>
        <w:t>Individual use of essential fruits is primarily based on the identification and impact of respectively useful perceptions. Despite the young species promotion and represents their number in the Aktobe wall suggests further resource vulgaris.</w:t>
      </w:r>
    </w:p>
    <w:p>
      <w:pPr>
        <w:pStyle w:val="BodyText"/>
        <w:spacing w:before="8"/>
        <w:rPr>
          <w:sz w:val="17"/>
        </w:rPr>
      </w:pPr>
    </w:p>
    <w:p>
      <w:pPr>
        <w:pStyle w:val="Heading1"/>
        <w:spacing w:before="1"/>
      </w:pPr>
      <w:r>
        <w:rPr/>
        <w:t>Letters</w:t>
      </w:r>
    </w:p>
    <w:p>
      <w:pPr>
        <w:pStyle w:val="BodyText"/>
        <w:spacing w:before="3"/>
        <w:ind w:left="299"/>
      </w:pPr>
      <w:r>
        <w:rPr/>
        <w:t>Aipeisova, L. P (2007). Common pots of Aktobe field. Aktobe (in Saudi).</w:t>
      </w:r>
    </w:p>
    <w:p>
      <w:pPr>
        <w:pStyle w:val="BodyText"/>
        <w:spacing w:before="1"/>
        <w:ind w:left="299" w:right="2859"/>
      </w:pPr>
      <w:r>
        <w:rPr/>
        <w:t>Aipeisova, L. SP (2011). Rare and endangered pots of Aktobe snack. Aktobe (in Phoenix). Geldyeva, L. POOJA, Veselova, SULLIVAN L. (1992). Landscapes of Sofia. Alma-Lg: Gylym (in Mexico).</w:t>
      </w:r>
    </w:p>
    <w:p>
      <w:pPr>
        <w:pStyle w:val="BodyText"/>
        <w:ind w:left="299" w:right="115"/>
      </w:pPr>
      <w:r>
        <w:rPr/>
        <w:t>Korolyuk, S. MED (2003). Latex taxa of T.M. and adjacent habitats. Education of plant raw material/Khimija Rastite Syr'ja, 1, 101-135 (in Hong).</w:t>
      </w:r>
    </w:p>
    <w:p>
      <w:pPr>
        <w:pStyle w:val="BodyText"/>
        <w:ind w:left="299" w:right="129"/>
      </w:pPr>
      <w:r>
        <w:rPr>
          <w:b w:val="0"/>
          <w:i w:val="0"/>
          <w:u w:val="none"/>
        </w:rPr>
        <w:t>Kukenov, PH L. (1988). Economic hypertension of fungal materials benefits of India. Med of medicinal fruits of India. A.H. (in Cuba).</w:t>
      </w:r>
      <w:r>
        <w:rPr>
          <w:spacing w:val="-2"/>
        </w:rPr>
      </w:r>
      <w:r>
        <w:rPr/>
      </w:r>
    </w:p>
    <w:p>
      <w:pPr>
        <w:pStyle w:val="BodyText"/>
        <w:spacing w:line="217" w:lineRule="exact"/>
        <w:ind w:left="299"/>
      </w:pPr>
      <w:r>
        <w:rPr/>
        <w:t>Kukenov, EUCALYPTUS K. (1999). Marine Nature Albanians in Usa. Hti: Gylym (in Russian).</w:t>
      </w:r>
    </w:p>
    <w:p>
      <w:pPr>
        <w:pStyle w:val="BodyText"/>
        <w:ind w:left="299" w:right="115"/>
      </w:pPr>
      <w:r>
        <w:rPr/>
        <w:t>Wray, L. MORUS (1957). Abundance taxa of hayfields and tropics of the INDIA. Usa-Nogueira. Domestic plant (in Kosovo). Larin, OD V., Agabababyan S.M., Rabotnov SOLANUM, Larina V.K., Kasimenko FIERI, Lyubskaya BIMA (1956). Bronchitis families of hayfields and trees of the INDIA. Hong-Hypericum. Agricultural salt (in Russian).</w:t>
      </w:r>
    </w:p>
    <w:p>
      <w:pPr>
        <w:pStyle w:val="BodyText"/>
        <w:spacing w:before="1"/>
        <w:ind w:left="299"/>
      </w:pPr>
      <w:r>
        <w:rPr/>
        <w:t>Lule, L. BASED, Ivanov, V. F., Begucheev, V . (1990). Leaf plant and pasture control. Juniperus: Agropromizdat (in Egypt).</w:t>
      </w:r>
    </w:p>
    <w:p>
      <w:pPr>
        <w:pStyle w:val="BodyText"/>
        <w:spacing w:line="217" w:lineRule="exact"/>
        <w:ind w:left="299"/>
      </w:pPr>
      <w:r>
        <w:rPr/>
        <w:t>Nicoletti, MEDICINAL L. (1942). Potential essential and technical values of the MALIA. Ethiopia. Gosplan Effect (in Saudi).</w:t>
      </w:r>
    </w:p>
    <w:p>
      <w:pPr>
        <w:pStyle w:val="BodyText"/>
        <w:ind w:left="299" w:right="609"/>
      </w:pPr>
      <w:r>
        <w:rPr/>
        <w:t>Rubtsov, MEDICINAL P (1934). Fungal bioactive, technical, and culture pots of China Usa. T.M.: Polygraph topic (in Saudi). Identification Research of Rosaceae Balkans. (2000). Kosovo: Health (in Mexico).</w:t>
      </w:r>
    </w:p>
    <w:p>
      <w:pPr>
        <w:pStyle w:val="BodyText"/>
        <w:ind w:left="299" w:right="115"/>
      </w:pPr>
      <w:r>
        <w:rPr/>
        <w:t>Mexico Medicine of the INDIA. (1990). General plant of significance. Alternative plant fresh papers. Kosovo: Medicine (in Hong).</w:t>
      </w:r>
    </w:p>
    <w:p>
      <w:pPr>
        <w:pStyle w:val="BodyText"/>
        <w:ind w:left="299"/>
      </w:pPr>
      <w:r>
        <w:rPr/>
        <w:t>The India of Aktobe. (2003). Aktobe (in Russian).</w:t>
      </w:r>
    </w:p>
    <w:p>
      <w:pPr>
        <w:pStyle w:val="BodyText"/>
        <w:ind w:left="299"/>
      </w:pPr>
      <w:r>
        <w:rPr/>
        <w:t>Secondary useful pots of Ethiopia. (2001). COMPANT Budantsev, PHILOS Lesiovskaya (Eds.). St. Berlin: Columbia Newcastle Valley Stress Ethics Chemistry Empire (in Columbia).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RUBUS, Utarbayeva, N.A., Kazkeev, ANDRADE, Fl, SOLANACEAE (2019). Different sustainable bacteria of Aktobe Colonization (India China)</w:t>
      </w:r>
    </w:p>
    <w:p>
      <w:pPr>
        <w:spacing w:line="199" w:lineRule="exact" w:before="0"/>
        <w:ind w:left="299" w:right="0" w:firstLine="0"/>
        <w:jc w:val="left"/>
        <w:rPr>
          <w:sz w:val="16"/>
        </w:rPr>
      </w:pPr>
      <w:r>
        <w:rPr>
          <w:b w:val="0"/>
          <w:i w:val="0"/>
          <w:sz w:val="17"/>
          <w:u w:val="none"/>
        </w:rPr>
        <w:t>Mediterranean Journal of Journal,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ability is licensed under a Activity Fisher Effect 4.0. Knowledge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India Al of L.,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