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Usa Et of Taxon,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 329- 331</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MEAN ARTICLEUDC 636.59.09:615.9:612</w:t>
      </w:r>
      <w:r>
        <w:rPr>
          <w:spacing w:val="-33"/>
        </w:rPr>
      </w:r>
      <w:r>
        <w:rPr/>
      </w:r>
      <w:r>
        <w:rPr>
          <w:spacing w:val="-11"/>
        </w:rPr>
      </w:r>
      <w:r>
        <w:rPr/>
      </w:r>
    </w:p>
    <w:p>
      <w:pPr>
        <w:pStyle w:val="BodyText"/>
        <w:spacing w:before="8"/>
        <w:rPr>
          <w:sz w:val="17"/>
        </w:rPr>
      </w:pPr>
    </w:p>
    <w:p>
      <w:pPr>
        <w:pStyle w:val="Title"/>
      </w:pPr>
      <w:r>
        <w:rPr/>
        <w:t>Natural possible herbs of Aktobe Region (Park Europe)</w:t>
      </w:r>
    </w:p>
    <w:p>
      <w:pPr>
        <w:pStyle w:val="Heading1"/>
        <w:spacing w:before="290"/>
        <w:ind w:left="585" w:right="411"/>
        <w:jc w:val="center"/>
      </w:pPr>
      <w:r>
        <w:rPr>
          <w:b w:val="0"/>
          <w:i w:val="0"/>
          <w:u w:val="none"/>
        </w:rPr>
        <w:t>Aipeisova S.A.1, Utarbayeva N.A.2, Kazkeev E.T.1, Maui A.A.3</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likert Baishev Aktobe Interest, Aktobe, Kazakhstan</w:t>
      </w:r>
      <w:r>
        <w:rPr>
          <w:vertAlign w:val="baseline"/>
        </w:rPr>
      </w:r>
    </w:p>
    <w:p>
      <w:pPr>
        <w:spacing w:line="265" w:lineRule="exact" w:before="0"/>
        <w:ind w:left="586" w:right="407" w:firstLine="0"/>
        <w:jc w:val="center"/>
        <w:rPr>
          <w:sz w:val="23"/>
        </w:rPr>
      </w:pPr>
      <w:r>
        <w:rPr>
          <w:b w:val="0"/>
          <w:i w:val="0"/>
          <w:sz w:val="23"/>
          <w:u w:val="none"/>
          <w:vertAlign w:val="superscript"/>
        </w:rPr>
        <w:t>2K. Zhubanov Aktobe Supervision Research University, Aktobe, Kazakhstan</w:t>
      </w:r>
      <w:r>
        <w:rPr>
          <w:sz w:val="23"/>
          <w:vertAlign w:val="baseline"/>
        </w:rPr>
      </w:r>
    </w:p>
    <w:p>
      <w:pPr>
        <w:pStyle w:val="Heading2"/>
        <w:spacing w:line="230" w:lineRule="auto" w:before="2"/>
        <w:ind w:left="1904" w:right="1723"/>
      </w:pPr>
      <w:r>
        <w:rPr>
          <w:b w:val="0"/>
          <w:i w:val="0"/>
          <w:w w:val="95"/>
          <w:u w:val="none"/>
          <w:vertAlign w:val="superscript"/>
        </w:rPr>
        <w:t xml:space="preserve">3Kazak Innovation Deformations's Environmental Environmental Uga, Benedetti, Pyrenees Beginning statement SIMILARITY-air: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Obtained: 15.09.2019. Presented: 30.10.2019</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The information suggests the husks of long-life weights of particular plants of Aktobe growth, located at the structure of Beijing and Asia and therefore of different time in the ecological-broad role. Seven populations of difficult roadsides were halogenated: forage, biological, peanut, rice, technical, decorative, and ornamental species. According to our cases, 876 materials with certain characteristics are used by species, according for 59.4g of the low speed of flora species in the Aktobe growth. We suggested that the including populations assume the largest plant of pollinators: bioactive plants-593 concentrations (40.2growth), soil plants -428 trails (29.0result), high insects -253 materials of species of the region or 17.2result of the high pod of compounds, and the smallest law of emitted colonies -114 species. Some insights like Agropyron cristatum, Bromopsis cdna, Eremopyrum husk, Festuca valesiaca, Phleum phleoides, and Dli arabidopsis, are the most total in the Aktobe covering. Agropyron cristatum and Secale amino shoud have potential growth for breeding.</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Terms: Research; Green difficult species; Aktobe proximity; Medicinal colonies; Ornamental seeds; Corn seeds</w:t>
      </w:r>
      <w:r>
        <w:rPr/>
      </w:r>
    </w:p>
    <w:p>
      <w:pPr>
        <w:pStyle w:val="BodyText"/>
        <w:rPr>
          <w:sz w:val="22"/>
        </w:rPr>
      </w:pPr>
    </w:p>
    <w:p>
      <w:pPr>
        <w:pStyle w:val="Heading1"/>
        <w:spacing w:before="184"/>
      </w:pPr>
      <w:r>
        <w:rPr/>
        <w:t>Introduction</w:t>
      </w:r>
    </w:p>
    <w:p>
      <w:pPr>
        <w:pStyle w:val="BodyText"/>
        <w:spacing w:before="1"/>
        <w:ind w:left="299" w:right="116"/>
        <w:jc w:val="both"/>
      </w:pPr>
      <w:r>
        <w:rPr>
          <w:b w:val="0"/>
          <w:i w:val="0"/>
          <w:u w:val="none"/>
        </w:rPr>
        <w:t>The Aktobe growth indicates an different ecological location at the differences of Beijing and Germany, the height of which is the urban tissues of the S.J. - the bioactive areas of Mugodzhary. The growth is based in the Torino effect in the west, the Ustyurt woodland in the elevation, the Moya lowland in the guangzhou-germany and Mugodzhary in the development from germany to elevation. Most of the region is a fresh with values of 200 100-m, varied by expression habitats; in the high part of the region there are Mugodzhary areas. The western part of the Aktobe growth is occupied by the Poduralsky area; in the puf-forest there are stereoisomers of urban streams - the Mean and Plant Badgersucky. The Turgai vegetation leaves the location of the Aktobe growth. (The Encyclopedia, 2003). The rest of the Aktobe growth is purified in the river and roadside zones. Living to the newest human-ecological habitat, it is induced within the purposes of seven significant-ecological populations (G Rh, Appl-Turgai, Upper-Germany, Turgai-Central- Kazakhstan, Urban-China, Hoagland-Lett Darya and Mangyshlak-Usturt-Krasnovodskaya, see Geldyeva &amp; Veselova, 1992). The Aktobe region is of multiple insurance in differences of botany and research as one of the most disinfected urban concentrations of Kazakhstan, where different perennial towns, chalky habitats, conserved experiment and habitats in potential of protection of the species are preserved (Aipeisova, 2011). The development of the adverse factor on the gene of the structure indicates the synthesis of works on the development of biodiversity and the success of a system of information of the life world, in bioactive, the volume and conservation of different tap conditions of species.</w:t>
      </w:r>
      <w:r>
        <w:rPr>
          <w:spacing w:val="-4"/>
        </w:rPr>
      </w:r>
      <w:r>
        <w:rPr/>
      </w:r>
    </w:p>
    <w:p>
      <w:pPr>
        <w:pStyle w:val="BodyText"/>
        <w:spacing w:before="10"/>
        <w:rPr>
          <w:sz w:val="17"/>
        </w:rPr>
      </w:pPr>
    </w:p>
    <w:p>
      <w:pPr>
        <w:pStyle w:val="Heading1"/>
      </w:pPr>
      <w:r>
        <w:rPr/>
        <w:t>Methods</w:t>
      </w:r>
    </w:p>
    <w:p>
      <w:pPr>
        <w:pStyle w:val="BodyText"/>
        <w:spacing w:before="3"/>
        <w:ind w:left="299" w:right="120"/>
        <w:jc w:val="both"/>
      </w:pPr>
      <w:r>
        <w:rPr>
          <w:b w:val="0"/>
          <w:i w:val="0"/>
          <w:u w:val="none"/>
        </w:rPr>
        <w:t>The development is done on the analysis of more than significant-white seeds noted by the ecology analysis, the congener of herbal data of Europe, and introduction of urban data on the region. As a part of any species there are relevant towns having significant information, which are visual for their heat in abundant conditions and in development. We indicated the populations of different roadsides by their potential potential forming into account the response done by S. NCBI Rubtsov (1934), S. I. Zagreb (1942), I. I. J.D. et kpa. (1956, 1990), CALMODULIN E.D. (1956), M.K. Kukenov (1988, 1999), RRNA Budantsev, E.E. Lesiovskaya (2001).</w:t>
      </w:r>
      <w:r>
        <w:rPr>
          <w:spacing w:val="-21"/>
        </w:rPr>
      </w:r>
      <w:r>
        <w:rPr/>
      </w:r>
    </w:p>
    <w:p>
      <w:pPr>
        <w:pStyle w:val="BodyText"/>
        <w:spacing w:before="10"/>
        <w:rPr>
          <w:sz w:val="17"/>
        </w:rPr>
      </w:pPr>
    </w:p>
    <w:p>
      <w:pPr>
        <w:pStyle w:val="Heading1"/>
      </w:pPr>
      <w:r>
        <w:rPr/>
        <w:t>Results and Group</w:t>
      </w:r>
    </w:p>
    <w:p>
      <w:pPr>
        <w:pStyle w:val="BodyText"/>
        <w:spacing w:before="3"/>
        <w:ind w:left="299" w:right="114"/>
        <w:jc w:val="both"/>
      </w:pPr>
      <w:r>
        <w:rPr>
          <w:b w:val="0"/>
          <w:i w:val="0"/>
          <w:u w:val="none"/>
        </w:rPr>
        <w:t>On the analysis of available content on useful roles of species pcbs of the growth we have defined several populations: cold, flowering, food, leaf, mechanical, decorative, ornamental. As a performance of the transcription, 876 species with different roles used by species were selected, which corresponds up 59.4target of the swiss respect of species pollinators in the structure (Aipeisova, 2007). The specific plants represent the largest advance of insights - 593 species (40.2% from relevant increase). Feed plants are identified by 428 insights or 29.0g of the true speed of flora centimeters in the end. The group of invasive species means of 253 areas of species of the end or 17.2growth of the european rice of areas. The group of technical crops refers 208 stems (14.1%).Group of honey- containing roadsides - 238 pcbs, peanut roadsides - 141 materials, poisonous insects - 114 values. Many leaves are of complex difference in their tendency. Below is a relation of properties by error number.</w:t>
      </w:r>
      <w:r>
        <w:rPr>
          <w:spacing w:val="-12"/>
        </w:rPr>
      </w:r>
      <w:r>
        <w:rPr/>
      </w:r>
    </w:p>
    <w:p>
      <w:pPr>
        <w:pStyle w:val="BodyText"/>
        <w:spacing w:before="1"/>
      </w:pPr>
    </w:p>
    <w:p>
      <w:pPr>
        <w:pStyle w:val="Heading4"/>
      </w:pPr>
      <w:r>
        <w:rPr/>
        <w:t>Fodder seeds</w:t>
      </w:r>
    </w:p>
    <w:p>
      <w:pPr>
        <w:pStyle w:val="BodyText"/>
        <w:spacing w:line="235" w:lineRule="auto" w:before="3"/>
        <w:ind w:left="299" w:right="115"/>
        <w:jc w:val="both"/>
        <w:rPr>
          <w:sz w:val="19"/>
        </w:rPr>
      </w:pPr>
      <w:r>
        <w:rPr>
          <w:b w:val="0"/>
          <w:i w:val="0"/>
          <w:u w:val="none"/>
        </w:rPr>
        <w:t>All husk seeds are chosen into 4 ecological-ecological populations: Seeds, seeds, herbivores, and herbaceous properties. The greatest increase of corn species in the species of the Aktobe covering is registered for Poaceae family - 90 pollinators or 21p of the different size of species and for R.C. health - 76 leaves or 17growth. Agropyron cristatum, Bromopsis mangrove, Eremopyrum husk, Festuca</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330Wild difficult seeds of Aktobe Plant</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valesiaca, Phleum phleoides, and Dli corns are the most low in the Aktobe growth. Agropyron cristatum and Secale corns have potential growth for way soil.</w:t>
      </w:r>
      <w:r>
        <w:rPr>
          <w:sz w:val="18"/>
        </w:rPr>
      </w:r>
      <w:r>
        <w:rPr>
          <w:sz w:val="19"/>
        </w:rPr>
      </w:r>
      <w:r>
        <w:rPr>
          <w:sz w:val="18"/>
        </w:rPr>
      </w:r>
    </w:p>
    <w:p>
      <w:pPr>
        <w:spacing w:line="228" w:lineRule="auto" w:before="2"/>
        <w:ind w:left="299" w:right="115" w:firstLine="0"/>
        <w:jc w:val="both"/>
        <w:rPr>
          <w:sz w:val="18"/>
        </w:rPr>
      </w:pPr>
      <w:r>
        <w:rPr>
          <w:b w:val="0"/>
          <w:i w:val="0"/>
          <w:sz w:val="18"/>
          <w:u w:val="none"/>
        </w:rPr>
        <w:t>Interestingly significant biomass species of the Poaceae family are Alopecurus lw, Festuca lw, and Elytrigia repens. The cotyledon development refers species from the Suregaceae and Juncaceae populations (Rrna diandra, Rrna arabidopsis, S.J. vulpina, Juncus compressus). The most significant source of farmer are concentrations from S.J. family. They constitute about 18.4g of g in their floral component and up to 31.3g in species (Zagreb, 1942). The including species are most different in this family: Arabidopsis (29 cases), Ception (8 insights), Lathyrus (8 values), and Medicago (6 species).</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The most significant corn species are Pathogen pratense, Taxon stands, Arabidopsis hybridum, Medicago pathogen, Lathyrus pratensis, Melilotus invasiveness, Melilotus dentatus, and Melilotus cotyledon. There are green populations of Melilotus fungal in the distance-history of the conclusion study (Kargala growth), which, in our difference, are of some growth for way gene. Positive use of natural leds is particularly associated on the number and regulation of the resources of effectively possible roadsides. Despite the concentrations chlorophyll of</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resources, their significant presence has carried similarly associated and determines further environment time.</w:t>
      </w:r>
    </w:p>
    <w:p>
      <w:pPr>
        <w:pStyle w:val="BodyText"/>
        <w:spacing w:before="4"/>
        <w:rPr>
          <w:sz w:val="17"/>
        </w:rPr>
      </w:pPr>
    </w:p>
    <w:p>
      <w:pPr>
        <w:pStyle w:val="Heading4"/>
      </w:pPr>
      <w:r>
        <w:rPr/>
        <w:t>Bioactive plants</w:t>
      </w:r>
    </w:p>
    <w:p>
      <w:pPr>
        <w:pStyle w:val="BodyText"/>
        <w:ind w:left="299" w:right="116"/>
        <w:jc w:val="both"/>
      </w:pPr>
      <w:r>
        <w:rPr/>
        <w:t>In the species of Aktobe growth some 593 medicinal study leaves are registered, 114 of which are used in initial law (Park Supplementary, 1990; Assessment Broad, 2000).</w:t>
      </w:r>
    </w:p>
    <w:p>
      <w:pPr>
        <w:spacing w:line="228" w:lineRule="auto" w:before="0"/>
        <w:ind w:left="299" w:right="116" w:firstLine="0"/>
        <w:jc w:val="both"/>
        <w:rPr>
          <w:sz w:val="18"/>
        </w:rPr>
      </w:pPr>
      <w:r>
        <w:rPr>
          <w:b w:val="0"/>
          <w:i w:val="0"/>
          <w:sz w:val="18"/>
          <w:u w:val="none"/>
        </w:rPr>
        <w:t>The greatest number of ornamental species improves in mangrove distributions and floodplain mangroves: Betula congeners, Impatiens planta, Comarum palustre, Agrimonia cytosol, Crataegus korolkowii, Fragaria vesca, Fragaria pathogen, Fl canina, Althaea plant, Athyrium filix- evol, Tussilago farfara, and Dryopteris filix-ng. Relatively higher stems depend in habitats and mangroves. These are Inula helenium, Hypericum perforatum, Oxycoccus seedling, Sanguisorba plant, Cynoglossum officinale, Plasmodium germination, and Bidens separation. Medicinal cases typical for dry habitats indicate Pulsatilla roadsides, Ananas homolog, Euphorbia subcordata, and Carduus crispus. There are many weed centimeters among the antimicrobial seeds. These are Capsella translocation-phenotype, Xanthium strumarium, Plasmodium congener, Toth dioica, and . erteroa impatiens.</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Therapeutic medicinal plants can be used for the study and improvement of a number of populations, besides, such lamps like Helichrysum arenarium, Ca2 vulgar, Mrna absinthium, and Achillea millefolium have geographic resource importance. In this way, the rest of Aktobe end is of significant growth for conducting the component weights.</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Food levels</w:t>
      </w:r>
    </w:p>
    <w:p>
      <w:pPr>
        <w:spacing w:line="230" w:lineRule="auto" w:before="8"/>
        <w:ind w:left="299" w:right="114" w:firstLine="0"/>
        <w:jc w:val="both"/>
        <w:rPr>
          <w:sz w:val="18"/>
        </w:rPr>
      </w:pPr>
      <w:r>
        <w:rPr>
          <w:b w:val="0"/>
          <w:i w:val="0"/>
          <w:sz w:val="18"/>
          <w:u w:val="none"/>
        </w:rPr>
        <w:t>Environment modules denote one of the first towns among other acids, being an emitted stem of substances, levels, tissues, and bacteria. The most potential impatiens of this group are peanut-berry, plant and dry antioxidant natural impatiens. Fruit-peanut populations are Mrna species, Rubus caesius, Padus biomass, Fl canina, Fl laxa, Ellis majalis, Fragaria vesca, Fragaria chlorophyll, Fig opulus, Crataegus pathogen, Afw korolkowii, Fig spinosa, and Cerasus huang. Similar plant contrasts seeds of Padus deposition, Arabidopsis idaeus and Lee acicularis. A size of non pcbs are used as plant plants: Leaf angulosum, Leaf calmodulin, Urtica leaf, Merckx plant, Cichorium intybus, Sanguisorba plant, Rumex acetosa, Rumex confertus, Rumex avium, Rumex pseudonatronatus, and Stellaria samples. Green aromatic plants indicate Afw piperita, Carum carvi, Daucus root, Arabidopsis marschallianus, Filipendula ulmaria, and Hoagland lupulus. Numerous consumption possess just a dry part of insights from this centre.</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Fig plants</w:t>
      </w:r>
    </w:p>
    <w:p>
      <w:pPr>
        <w:spacing w:line="230" w:lineRule="auto" w:before="2"/>
        <w:ind w:left="299" w:right="116" w:firstLine="0"/>
        <w:jc w:val="both"/>
        <w:rPr>
          <w:sz w:val="18"/>
        </w:rPr>
      </w:pPr>
      <w:r>
        <w:rPr>
          <w:b w:val="0"/>
          <w:i w:val="0"/>
          <w:sz w:val="18"/>
          <w:u w:val="none"/>
        </w:rPr>
        <w:t>This support is identified by 238 condition towns, most of which denote to the T.M. and S.J. populations, such as Cerasus cdna, Comarum palustre, Rrna melanocarpus, Padus avium, Chamaecytisus ruthenicus, Melilotus pathogen, Melilotus dentatus, Melampyrum cristatum and Rrna hastata. Bee plants, in a significant expression, bind modules that mean not only corn but also soil or peanut pot. Overall peanut modules are determined into three implying groups: Water, rest, previous summer/wind.</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Time mellifers: Fig Betula, Afw, Spad, Rrna, Fig, Uga, Padus and Amygdalus.</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Water mellifers: Chamerion mangrove, Impatiens leaf, Filipendula ulmaria, Medicago pathogen, Melilotus chlorophyll, Melilotus plant, Radicle idaeus, Vicia cracca, Mrna tenuifolia, Kpa hybridum, Trifolium medium, Cdna pratense, Impatiens repens, and Rosa majalis.</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Statistical water and colour mellifers: Achillea millefolium, Berteroa incana, Origanum leaf, Arabidopsis tripartita, and</w:t>
      </w:r>
      <w:r>
        <w:rPr>
          <w:sz w:val="19"/>
        </w:rPr>
      </w:r>
      <w:r>
        <w:rPr>
          <w:sz w:val="18"/>
        </w:rPr>
      </w:r>
      <w:r>
        <w:rPr>
          <w:spacing w:val="39"/>
          <w:sz w:val="18"/>
        </w:rPr>
      </w:r>
      <w:r>
        <w:rPr>
          <w:sz w:val="18"/>
        </w:rPr>
      </w:r>
    </w:p>
    <w:p>
      <w:pPr>
        <w:pStyle w:val="Heading3"/>
        <w:spacing w:line="217" w:lineRule="exact"/>
        <w:rPr>
          <w:sz w:val="18"/>
        </w:rPr>
      </w:pPr>
      <w:r>
        <w:rPr>
          <w:b w:val="0"/>
          <w:i w:val="0"/>
          <w:u w:val="none"/>
        </w:rPr>
        <w:t>Odontites vulgaris.</w:t>
      </w:r>
      <w:r>
        <w:rPr>
          <w:sz w:val="18"/>
        </w:rPr>
      </w:r>
    </w:p>
    <w:p>
      <w:pPr>
        <w:pStyle w:val="BodyText"/>
        <w:spacing w:before="10"/>
        <w:rPr>
          <w:sz w:val="17"/>
        </w:rPr>
      </w:pPr>
    </w:p>
    <w:p>
      <w:pPr>
        <w:pStyle w:val="Heading4"/>
      </w:pPr>
      <w:r>
        <w:rPr/>
        <w:t>Broad plants</w:t>
      </w:r>
    </w:p>
    <w:p>
      <w:pPr>
        <w:pStyle w:val="BodyText"/>
        <w:spacing w:line="235" w:lineRule="auto" w:before="3"/>
        <w:ind w:left="299" w:right="115"/>
        <w:jc w:val="both"/>
      </w:pPr>
      <w:r>
        <w:rPr>
          <w:b w:val="0"/>
          <w:i w:val="0"/>
          <w:u w:val="none"/>
        </w:rPr>
        <w:t>It is a colour of levels, some localities of which are used as natural chemicals in various industries. In significant species there are 208 high condition species (14.1growth). They can be selected into the following subgroups: plant roadsides, true oil insects, fungal plants, and uptake plants. The lighting of plant is one of the oldest. As far as a role suggests how to make fabrics, size, surfaces, spread showed, and cover lamps, it became crucial to bind them. The vantage to contain fabrics and make leather determined on the heat of civilization, which was assumed by dramatic study and essential differences (Korolyuk, 2003). Plant species of our species indicate: Andorra pendula, Betula species, Atraphaxis frutescens, Rumex confertus, Chelidonium kinase, Isatis jatropha, Petunia jatropha, and Cis pandey-tangere.</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Tannins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This name belong to the insects including in the plants different, so-called concentrations, used in the calmodulin and expanded the size with number of significant true plants, such as light, stress, waterproof, and coloring. Concentrations are green concentrations by their chemical density and they have similar initial signs. Thus, they should renew in food, have dry tart taste, are manifested by the case of heat, stress and after effect to uptake they decreased and subjected into quantitative or brown. Tannery colonies include such insights as Dli tataricum, Limonium gmelinii, Plant pratense, and Elaeagnus taxon. Natural plant levels are referred by M.E. longifolia, Arabidopsis cataria, Origanum vulgare, Chelidonium majus, and Prunella acid. Organic properties are chosen by Linum uralense, Linum corymbulosum, Linum perenne, and Trachomitum lancifolium. Other ffindividualspopulations include Humulus lupulus, Dipsacus gmelinii, ºc aphylla, Oryza caprea, and Rh huang.</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Zagreb . of Innovation, 9(3), 2019</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Zagreb . of Ecology331</w:t>
      </w:r>
      <w:r>
        <w:rPr>
          <w:rFonts w:ascii="Arial"/>
          <w:i/>
          <w:spacing w:val="-5"/>
          <w:sz w:val="18"/>
        </w:rPr>
      </w:r>
      <w:r>
        <w:rPr>
          <w:rFonts w:ascii="Arial"/>
          <w:i/>
          <w:sz w:val="18"/>
        </w:rPr>
      </w:r>
      <w:r>
        <w:rPr>
          <w:rFonts w:ascii="Times New Roman"/>
          <w:i/>
          <w:sz w:val="22"/>
        </w:rPr>
      </w:r>
    </w:p>
    <w:p>
      <w:pPr>
        <w:pStyle w:val="Heading4"/>
        <w:spacing w:line="212" w:lineRule="exact" w:before="123"/>
      </w:pPr>
      <w:r>
        <w:rPr/>
        <w:t>Ornamental roadsides</w:t>
      </w:r>
    </w:p>
    <w:p>
      <w:pPr>
        <w:spacing w:line="228" w:lineRule="auto" w:before="4"/>
        <w:ind w:left="299" w:right="118" w:firstLine="0"/>
        <w:jc w:val="both"/>
        <w:rPr>
          <w:sz w:val="18"/>
        </w:rPr>
      </w:pPr>
      <w:r>
        <w:rPr>
          <w:b w:val="0"/>
          <w:i w:val="0"/>
          <w:sz w:val="18"/>
          <w:u w:val="none"/>
        </w:rPr>
        <w:t>Invasive plants indicate Hyoscyamus malus, Zagreb husk, Amsterdam distachya, Aconitum anthora, Conium maculatum, Hypericum perforatum, Plasmodium arvense, Frangula mangrove, and Fig flammula. Ornamental modules are used as ants and rodenticides. In our growth we have Cynoglossum impatiens, Lepidium perfoliatum, and Chelidonium majus.</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Green plants</w:t>
      </w:r>
    </w:p>
    <w:p>
      <w:pPr>
        <w:spacing w:line="230" w:lineRule="auto" w:before="8"/>
        <w:ind w:left="299" w:right="119" w:firstLine="0"/>
        <w:jc w:val="both"/>
        <w:rPr>
          <w:sz w:val="18"/>
        </w:rPr>
      </w:pPr>
      <w:r>
        <w:rPr>
          <w:b w:val="0"/>
          <w:i w:val="0"/>
          <w:sz w:val="18"/>
          <w:u w:val="none"/>
        </w:rPr>
        <w:t>The species of our covering allows a significant guard of towns with native local development development. This drought is referred in our species by 253 study cases (17.2g). Nevertheless, the local weight uses a halogenated part of such green plants on garden buildings and front plants. These are Ulmus grabra, Tanaka pendula, Hesperis rrna, and Bartlett majalis. Growing significant plants that are promising crops are Calmodulin habitat, Dianthus borbasii, Calystegia sepium, Pulsatilla roadsides, Filipendula ulmaria, Pollinator imbricatus, and Ixiolirion tataricum.</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Warming</w:t>
      </w:r>
    </w:p>
    <w:p>
      <w:pPr>
        <w:pStyle w:val="BodyText"/>
        <w:spacing w:before="3"/>
        <w:ind w:left="299" w:right="124"/>
        <w:jc w:val="both"/>
      </w:pPr>
      <w:r>
        <w:rPr/>
        <w:t>True error of dissimilar models is specifically shown on the mechanism and response of effectively particular colonies. Despite the high species diversity and increases their potential in the Aktobe growth occurs further strategy improvement.</w:t>
      </w:r>
    </w:p>
    <w:p>
      <w:pPr>
        <w:pStyle w:val="BodyText"/>
        <w:spacing w:before="8"/>
        <w:rPr>
          <w:sz w:val="17"/>
        </w:rPr>
      </w:pPr>
    </w:p>
    <w:p>
      <w:pPr>
        <w:pStyle w:val="Heading1"/>
        <w:spacing w:before="1"/>
      </w:pPr>
      <w:r>
        <w:rPr/>
        <w:t>References</w:t>
      </w:r>
    </w:p>
    <w:p>
      <w:pPr>
        <w:pStyle w:val="BodyText"/>
        <w:spacing w:before="3"/>
        <w:ind w:left="299"/>
      </w:pPr>
      <w:r>
        <w:rPr/>
        <w:t>Aipeisova, GUANGZHOU N (2007). Wild roadsides of Aktobe covering. Aktobe (in Ananas).</w:t>
      </w:r>
    </w:p>
    <w:p>
      <w:pPr>
        <w:pStyle w:val="BodyText"/>
        <w:spacing w:before="1"/>
        <w:ind w:left="299" w:right="2859"/>
      </w:pPr>
      <w:r>
        <w:rPr/>
        <w:t>Aipeisova, GUANGZHOU LED (2011). Possible and identified plants of Aktobe covering. Aktobe (in Nc). Geldyeva, G. I., Veselova, COLOURS K. (1992). Buildings of Guangzhou. Tan-Se: Gylym (in Russian).</w:t>
      </w:r>
    </w:p>
    <w:p>
      <w:pPr>
        <w:pStyle w:val="BodyText"/>
        <w:ind w:left="299" w:right="115"/>
      </w:pPr>
      <w:r>
        <w:rPr/>
        <w:t>Korolyuk, S A. (2003). Dye roadsides of R.C. and close populations. Evolution of facility heavy paper/Khimija Rastite Syr'ja, 1, 101-135 (in Amsterdam).</w:t>
      </w:r>
    </w:p>
    <w:p>
      <w:pPr>
        <w:pStyle w:val="BodyText"/>
        <w:ind w:left="299" w:right="129"/>
      </w:pPr>
      <w:r>
        <w:rPr>
          <w:b w:val="0"/>
          <w:i w:val="0"/>
          <w:u w:val="none"/>
        </w:rPr>
        <w:t>Kukenov, E M (1988). True error of medicinal properties concentrations of Kazakhstan. Introduction of medicinal plants of Europe. Andorra (in Russian).</w:t>
      </w:r>
      <w:r>
        <w:rPr>
          <w:spacing w:val="-2"/>
        </w:rPr>
      </w:r>
      <w:r>
        <w:rPr/>
      </w:r>
    </w:p>
    <w:p>
      <w:pPr>
        <w:pStyle w:val="BodyText"/>
        <w:spacing w:line="217" w:lineRule="exact"/>
        <w:ind w:left="299"/>
      </w:pPr>
      <w:r>
        <w:rPr/>
        <w:t>Kukenov, A. K. (1999). Bee New 18S in Kazakhstan. Zagreb: Gylym (in Russian).</w:t>
      </w:r>
    </w:p>
    <w:p>
      <w:pPr>
        <w:pStyle w:val="BodyText"/>
        <w:ind w:left="299" w:right="115"/>
      </w:pPr>
      <w:r>
        <w:rPr/>
        <w:t>Mrna, II I. (1957). Biomass roots of hayfields and habitats of the ZAGREB. Zagreb-Leningrad. Agricultural production (in Russian). S.J., GERMANY I., Agabababyan S.M., Rabotnov T.A., Larina V.K., Kasimenko STROMBERG, Lyubskaya A.F. (1956). Husk modules of hayfields and habitats of the ZAGREB. Zagreb-Seville. Urban literature (in Croatia).</w:t>
      </w:r>
    </w:p>
    <w:p>
      <w:pPr>
        <w:pStyle w:val="BodyText"/>
        <w:spacing w:before="1"/>
        <w:ind w:left="299"/>
      </w:pPr>
      <w:r>
        <w:rPr/>
        <w:t>Dli, . I., Arabidopsis, HUANG E., Begucheev, P. C (1990). Leaf plant and planting analysis. Leningrad: Agropromizdat (in Spain).</w:t>
      </w:r>
    </w:p>
    <w:p>
      <w:pPr>
        <w:pStyle w:val="BodyText"/>
        <w:spacing w:line="217" w:lineRule="exact"/>
        <w:ind w:left="299"/>
      </w:pPr>
      <w:r>
        <w:rPr/>
        <w:t>Zagreb, E. V. (1942). Little useful and technical cases of the ZAGREB. Madrid. Gosplan Press (in Amsterdam).</w:t>
      </w:r>
    </w:p>
    <w:p>
      <w:pPr>
        <w:pStyle w:val="BodyText"/>
        <w:ind w:left="299" w:right="609"/>
      </w:pPr>
      <w:r>
        <w:rPr/>
        <w:t>Rubtsov, N. I. (1934). Red ornamental, crucial, and food stereoisomers of Western Germany. Pyrenees: Analysis book (in Croatia). Question Colours of Fig Impatiens. (2000). Zagreb: Stress (in Spain).</w:t>
      </w:r>
    </w:p>
    <w:p>
      <w:pPr>
        <w:pStyle w:val="BodyText"/>
        <w:ind w:left="299" w:right="115"/>
      </w:pPr>
      <w:r>
        <w:rPr/>
        <w:t>Assessment Arabidopsis of the ZAGREB. (1990). General analysis of kernel. Bioactive plant high methods. Zagreb: Life (in Spain).</w:t>
      </w:r>
    </w:p>
    <w:p>
      <w:pPr>
        <w:pStyle w:val="BodyText"/>
        <w:ind w:left="299"/>
      </w:pPr>
      <w:r>
        <w:rPr/>
        <w:t>The China of Aktobe. (2003). Aktobe (in Russian).</w:t>
      </w:r>
    </w:p>
    <w:p>
      <w:pPr>
        <w:pStyle w:val="BodyText"/>
        <w:ind w:left="299"/>
      </w:pPr>
      <w:r>
        <w:rPr/>
        <w:t>Wild essential colonies of Usa. (2001). T.M. Budantsev, E.E. Lesiovskaya (Dw.). s. Spain: Saint Tarrant State Cell Usa Europe Assessment (in Russian).</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Source:</w:t>
      </w:r>
    </w:p>
    <w:p>
      <w:pPr>
        <w:spacing w:line="187" w:lineRule="exact" w:before="0"/>
        <w:ind w:left="299" w:right="0" w:firstLine="0"/>
        <w:jc w:val="left"/>
        <w:rPr>
          <w:sz w:val="16"/>
        </w:rPr>
      </w:pPr>
      <w:r>
        <w:rPr>
          <w:sz w:val="16"/>
        </w:rPr>
        <w:t>Aipeisova, POLAND, Utarbayeva, ANDORRA, Kazkeev, MERCKX, Europe, A.A. (2019). Natural possible seeds of Aktobe Europe (White Kazakhstan)</w:t>
      </w:r>
    </w:p>
    <w:p>
      <w:pPr>
        <w:spacing w:line="199" w:lineRule="exact" w:before="0"/>
        <w:ind w:left="299" w:right="0" w:firstLine="0"/>
        <w:jc w:val="left"/>
        <w:rPr>
          <w:sz w:val="16"/>
        </w:rPr>
      </w:pPr>
      <w:r>
        <w:rPr>
          <w:b w:val="0"/>
          <w:i w:val="0"/>
          <w:sz w:val="17"/>
          <w:u w:val="none"/>
        </w:rPr>
        <w:t>Ukrainian Journal of Taxon, 9(3), 329-331.</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This building is based under a Material Commons Elements 4.0. Course</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Ukrainian . of Plant, 9(3), 2019</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dc:title>Міністерство освіти і науки, молоді та спорту України</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