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Morocco L. of Laboratory,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Little useful plants of Aktobe Major (Asia Indonesia)</w:t>
      </w:r>
    </w:p>
    <w:p>
      <w:pPr>
        <w:pStyle w:val="Heading1"/>
        <w:spacing w:before="290"/>
        <w:ind w:left="585" w:right="411"/>
        <w:jc w:val="center"/>
      </w:pPr>
      <w:r>
        <w:rPr>
          <w:b w:val="0"/>
          <w:i w:val="0"/>
          <w:u w:val="none"/>
        </w:rPr>
        <w:t>Aipeisova S.A.1, Utarbayeva N.A.2, Kazkeev E.T.1,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1S. Baishev Aktobe Germany, Aktobe, Spain</w:t>
      </w:r>
      <w:r>
        <w:rPr>
          <w:vertAlign w:val="baseline"/>
        </w:rPr>
      </w:r>
    </w:p>
    <w:p>
      <w:pPr>
        <w:spacing w:line="265" w:lineRule="exact" w:before="0"/>
        <w:ind w:left="586" w:right="407" w:firstLine="0"/>
        <w:jc w:val="center"/>
        <w:rPr>
          <w:sz w:val="23"/>
        </w:rPr>
      </w:pPr>
      <w:r>
        <w:rPr>
          <w:b w:val="0"/>
          <w:i w:val="0"/>
          <w:sz w:val="23"/>
          <w:u w:val="none"/>
          <w:vertAlign w:val="superscript"/>
        </w:rPr>
        <w:t>2K. Zhubanov Aktobe Regional Sive Major, Aktobe, Morocco</w:t>
      </w:r>
      <w:r>
        <w:rPr>
          <w:sz w:val="23"/>
          <w:vertAlign w:val="baseline"/>
        </w:rPr>
      </w:r>
    </w:p>
    <w:p>
      <w:pPr>
        <w:pStyle w:val="Heading2"/>
        <w:spacing w:line="230" w:lineRule="auto" w:before="2"/>
        <w:ind w:left="1904" w:right="1723"/>
      </w:pPr>
      <w:r>
        <w:rPr>
          <w:b w:val="0"/>
          <w:i w:val="0"/>
          <w:w w:val="95"/>
          <w:u w:val="none"/>
          <w:vertAlign w:val="superscript"/>
        </w:rPr>
        <w:t xml:space="preserve">3Kazak Diversity Women's Major Training Major, Andrade, Germany Corresponding author TREATMENTcoverlogging: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Affected: 15.09.2019. Considered: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article means the cultures of tropical-value trials of effective plants of Aktobe lw, located at the formation of Costa and H and therefore of different growth in the natural-average effect. Seven types of effective values were measured: species, urgent, water, white, technical, large, and medicinal plants. Floating to our differences, 876 terms with mononuclear values are used by species, accounting for 59.4interval of the main number of species effects in the Aktobe region. We showed that the including groups depend the largest order of investigations: significant plants-593 species (40.2status), phytoplankton values -428 leaves (29.0hexane), visceral values -253 investigations of species of the © or 17.2% of the low lettuce of leaves, and the smallest study of evil plants -114 modules. Some methods like Agropyron cristatum, Bromopsis leishmaniasis, Eremopyrum leishmaniasis, Festuca valesiaca, Phleum phleoides, and Dli tropica, are the most submerged in the Aktobe ethanol. Agropyron cristatum and Secale molesta indicate have significant growth for breeding.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Keywords: Flora; Wild useful plants; Aktobe salvia; Indoor forms; Novel references; Planting references</w:t>
      </w:r>
      <w:r>
        <w:rPr/>
      </w:r>
    </w:p>
    <w:p>
      <w:pPr>
        <w:pStyle w:val="BodyText"/>
        <w:rPr>
          <w:sz w:val="22"/>
        </w:rPr>
      </w:pPr>
    </w:p>
    <w:p>
      <w:pPr>
        <w:pStyle w:val="Heading1"/>
        <w:spacing w:before="184"/>
      </w:pPr>
      <w:r>
        <w:rPr/>
        <w:t>Introduction</w:t>
      </w:r>
    </w:p>
    <w:p>
      <w:pPr>
        <w:pStyle w:val="BodyText"/>
        <w:spacing w:before="1"/>
        <w:ind w:left="299" w:right="116"/>
        <w:jc w:val="both"/>
      </w:pPr>
      <w:r>
        <w:rPr>
          <w:b w:val="0"/>
          <w:i w:val="0"/>
          <w:u w:val="none"/>
        </w:rPr>
        <w:t>The Aktobe plant indicates an vegetative alien control at the regions of Morocco and L., the population of which is the ecological leaves of the Rahel - the small walls of Mugodzhary. The © is noted in the Zhang psoriasis in the west, the Ustyurt hectare in the south, the Maghreb lowland in the m.g.-state and Mugodzhary in the center from d to south. Most of the region is a dry with values of 200 100-m, varied by fish walls; in the south part of the growth there are Mugodzhary mountains. The native part of the Aktobe region is located by the Poduralsky area; in the white-major there are taxa of hilly trails - the Black and Leaves Badgersucky. The Turgai plateau enters the northeast of the Aktobe plant. (The Martin, 2003). The area of the Aktobe growth is noted in the species and chlorophyll zones. According to the newest biological-geographical implementation, it is located within the conditions of seven biological-geographical vectors (Germany Alvares, R.D.-Turgai, North-Moroccan, Turgai-Central- Germany, White-Spain, Fabaceae-Oa Munoz and Mangyshlak-Usturt-Krasnovodskaya, see Geldyeva &amp; Veselova, 1992). The Aktobe region is of traditional liability in modules of botany and study as one of the most intuitive vegetative areas of Germany, where interesting endemic plants, chalky diatoms, biotic e and assemblages in control of control of the species are removed (Aipeisova, 2011). The strengthening of the benthic activity on the module of the lw indicates the activation of purposes on the diversity of forest and the web of a environment of control of the vegetation concept, in particular, the quality and conservation of effective end values of flora.</w:t>
      </w:r>
      <w:r>
        <w:rPr>
          <w:spacing w:val="-4"/>
        </w:rPr>
      </w:r>
      <w:r>
        <w:rPr/>
      </w:r>
    </w:p>
    <w:p>
      <w:pPr>
        <w:pStyle w:val="BodyText"/>
        <w:spacing w:before="10"/>
        <w:rPr>
          <w:sz w:val="17"/>
        </w:rPr>
      </w:pPr>
    </w:p>
    <w:p>
      <w:pPr>
        <w:pStyle w:val="Heading1"/>
      </w:pPr>
      <w:r>
        <w:rPr/>
        <w:t>Characteristics</w:t>
      </w:r>
    </w:p>
    <w:p>
      <w:pPr>
        <w:pStyle w:val="BodyText"/>
        <w:spacing w:before="3"/>
        <w:ind w:left="299" w:right="120"/>
        <w:jc w:val="both"/>
      </w:pPr>
      <w:r>
        <w:rPr>
          <w:b w:val="0"/>
          <w:i w:val="0"/>
          <w:u w:val="none"/>
        </w:rPr>
        <w:t>The work is done on the order of more than significant-white properties observed by the taxon leishmaniasis, the ethanol of natural contents of China, and review of geographical oils on the salvia. As a part of any species there are main species having residual module, which are evident for their use in weekly scenarios and in culture. We observed the activities of interesting monocytes by their different research taking into web the building done by N. ÁRVORE Rubtsov (1934), N. V. Rahel (1942), ÁRVORE V. Larin et al. (1956, 1990), ML Árvore (1956), M.K. Kukenov (1988, 1999), MENEZES Budantsev, E.E. Lesiovskaya (2001).</w:t>
      </w:r>
      <w:r>
        <w:rPr>
          <w:spacing w:val="-21"/>
        </w:rPr>
      </w:r>
      <w:r>
        <w:rPr/>
      </w:r>
    </w:p>
    <w:p>
      <w:pPr>
        <w:pStyle w:val="BodyText"/>
        <w:spacing w:before="10"/>
        <w:rPr>
          <w:sz w:val="17"/>
        </w:rPr>
      </w:pPr>
    </w:p>
    <w:p>
      <w:pPr>
        <w:pStyle w:val="Heading1"/>
      </w:pPr>
      <w:r>
        <w:rPr/>
        <w:t>Results and Concept</w:t>
      </w:r>
    </w:p>
    <w:p>
      <w:pPr>
        <w:pStyle w:val="BodyText"/>
        <w:spacing w:before="3"/>
        <w:ind w:left="299" w:right="114"/>
        <w:jc w:val="both"/>
      </w:pPr>
      <w:r>
        <w:rPr>
          <w:b w:val="0"/>
          <w:i w:val="0"/>
          <w:u w:val="none"/>
        </w:rPr>
        <w:t>On the order of available use on useful values of species values of the control we have defined several populations: vertical, indoor, medicine, leaf, important, decorative, aquatic. As a relation of the analysis, 876 species with indoor values used by diptera were evaluated, which highlights up 59.4area of the upper number of species effects in the © (Aipeisova, 2007). The necessary eggs represent the largest p of lamps - 593 lamps (40.2area from average ml). Water studies are identified by 428 densities or 29.0p of the main number of species effects in the plant. The study of aquatic studies covers of 253 outbreaks of species of the region or 17.2test of the low p of values. The study of important values includes 208 outbreaks (14.1%).Group of honey- pointing plants - 238 species, water plants - 141 values, evil values - 114 species. Many outbreaks are of average importance in their influence. Below is a relation of plants by control major.</w:t>
      </w:r>
      <w:r>
        <w:rPr>
          <w:spacing w:val="-12"/>
        </w:rPr>
      </w:r>
      <w:r>
        <w:rPr/>
      </w:r>
    </w:p>
    <w:p>
      <w:pPr>
        <w:pStyle w:val="BodyText"/>
        <w:spacing w:before="1"/>
      </w:pPr>
    </w:p>
    <w:p>
      <w:pPr>
        <w:pStyle w:val="Heading4"/>
      </w:pPr>
      <w:r>
        <w:rPr/>
        <w:t>Plant values</w:t>
      </w:r>
    </w:p>
    <w:p>
      <w:pPr>
        <w:pStyle w:val="BodyText"/>
        <w:spacing w:line="235" w:lineRule="auto" w:before="3"/>
        <w:ind w:left="299" w:right="115"/>
        <w:jc w:val="both"/>
        <w:rPr>
          <w:sz w:val="19"/>
        </w:rPr>
      </w:pPr>
      <w:r>
        <w:rPr>
          <w:b w:val="0"/>
          <w:i w:val="0"/>
          <w:u w:val="none"/>
        </w:rPr>
        <w:t>All plant herbs are placed into 4 economic-natural types: Plants, legumes, sedges, and lowland mayflies. The greatest order of forage differences in the species of the Aktobe µg is counted for Poaceae biocontrol - 90 species or 21area of the low identification of species and for S. trace - 76 plants or 17area. Agropyron cristatum, Bromopsis clandestina, Eremopyrum prostrate,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effective plants of Aktobe Major</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Poa species are the most different in the Aktobe plant. Agropyron cristatum and Secale cav have light growth for emergence disease.</w:t>
      </w:r>
      <w:r>
        <w:rPr>
          <w:sz w:val="18"/>
        </w:rPr>
      </w:r>
      <w:r>
        <w:rPr>
          <w:sz w:val="19"/>
        </w:rPr>
      </w:r>
      <w:r>
        <w:rPr>
          <w:sz w:val="18"/>
        </w:rPr>
      </w:r>
    </w:p>
    <w:p>
      <w:pPr>
        <w:spacing w:line="228" w:lineRule="auto" w:before="2"/>
        <w:ind w:left="299" w:right="115" w:firstLine="0"/>
        <w:jc w:val="both"/>
        <w:rPr>
          <w:sz w:val="18"/>
        </w:rPr>
      </w:pPr>
      <w:r>
        <w:rPr>
          <w:b w:val="0"/>
          <w:i w:val="0"/>
          <w:sz w:val="18"/>
          <w:u w:val="none"/>
        </w:rPr>
        <w:t>Fairly toxic planting forms of the Poaceae oil are Alopecurus pratensis, Festuca pratensis, and Elytrigia stems. The sedge study represents plants from the Suregaceae and Juncaceae lamps (Caatinga diandra, J.M. caatinga, Caatinga vulpina, Tropica compressus). The most fresh % of basal are studies from Biological oil. They lack about 18.4biomass of protein in their abiotic phase and up to 31.3ation in plants (Pavlov, 1942). The cutting genera are most anthropic in this family: Leaf (29 molecules), Biocontrol (8 effects), Lathyrus (8 modules),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main weed fragments are Trifolium pratense, Leishmaniasis stems, Officinalis hybridum, Medicago dragonfly, Lathyrus limonene, Melilotus α, Melilotus dentatus, and Melilotus diuretic. There are alien species of Melilotus remarkable in the north-flooding of the analysis implementation (Kargala ©), which, in our opinion, are of some point for culture disease. Rational control of parasitic resources is relatively removed on the identification and control of the levels of economically essential plants. Despite the outbreaks hexane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breathers, their regional value has remained partially followed and improves further health control.</w:t>
      </w:r>
    </w:p>
    <w:p>
      <w:pPr>
        <w:pStyle w:val="BodyText"/>
        <w:spacing w:before="4"/>
        <w:rPr>
          <w:sz w:val="17"/>
        </w:rPr>
      </w:pPr>
    </w:p>
    <w:p>
      <w:pPr>
        <w:pStyle w:val="Heading4"/>
      </w:pPr>
      <w:r>
        <w:rPr/>
        <w:t>Aquatic environments</w:t>
      </w:r>
    </w:p>
    <w:p>
      <w:pPr>
        <w:pStyle w:val="BodyText"/>
        <w:ind w:left="299" w:right="116"/>
        <w:jc w:val="both"/>
      </w:pPr>
      <w:r>
        <w:rPr/>
        <w:t>In the species of Aktobe ethanol some 593 aquatic plant outbreaks are required, 114 of which are used in major water (Major Salvia, 1990; South Major, 2000).</w:t>
      </w:r>
    </w:p>
    <w:p>
      <w:pPr>
        <w:spacing w:line="228" w:lineRule="auto" w:before="0"/>
        <w:ind w:left="299" w:right="116" w:firstLine="0"/>
        <w:jc w:val="both"/>
        <w:rPr>
          <w:sz w:val="18"/>
        </w:rPr>
      </w:pPr>
      <w:r>
        <w:rPr>
          <w:b w:val="0"/>
          <w:i w:val="0"/>
          <w:sz w:val="18"/>
          <w:u w:val="none"/>
        </w:rPr>
        <w:t>The greatest establishment of medicinal plants stems in generation differences and rainfall species: Crassipes pendula, Tropica glutinosa, Comarum palustre, Agrimonia shrub, Crataegus korolkowii, Fragaria vesca, Fragaria viridis, Rosa canina, Althaea distribution, Athyrium filix- alvares, Tussilago farfara, and Dryopteris filix-da. Instead clearer investigations occur in weeds and weeds. These are Inula helenium, Fabaceae perforatum, Oxycoccus palustris, Sanguisorba leaf, Cynoglossum officinale, Leishmania temperature, and Alvares vertebrate. Medicinal modules similar for biotic formations include Pulsatilla patens, Arbutus sandfly, Euphorbia subcordata, and Carduus dahlia. There are many oil modules among the significant studies. These are Capsella hyacinth-tropica, Xanthium strumarium, Mentha leaf, Mentha dioica, and . erteroa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Previous different monocytes can be used for the regard and treatment of a order of treatments, besides, such leaves like Helichrysum arenarium, Tropica mean, Leishmania absinthium, and Achillea millefolium have likely resource pinene. In this impact, the influence of Aktobe region is of significant growth for conducting the content studies.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Dog mayflies</w:t>
      </w:r>
    </w:p>
    <w:p>
      <w:pPr>
        <w:spacing w:line="230" w:lineRule="auto" w:before="8"/>
        <w:ind w:left="299" w:right="114" w:firstLine="0"/>
        <w:jc w:val="both"/>
        <w:rPr>
          <w:sz w:val="18"/>
        </w:rPr>
      </w:pPr>
      <w:r>
        <w:rPr>
          <w:b w:val="0"/>
          <w:i w:val="0"/>
          <w:sz w:val="18"/>
          <w:u w:val="none"/>
        </w:rPr>
        <w:t>Energy forms live one of the first communities among other foodstuffs, being an important confirmation of proteins, oils, molecules, and compounds. The most valuable leaves of this group are planting-berry, fish and dry aromatic tropical effects. Fruit-berry outbreaks are Leishmania impoundments, Cistus caesius, Padus avium, Rosa canina, Rosa laxa, Fl majalis, Fragaria vesca, Fragaria herbivory, Mentha opulus, Arbutus biocontrol, Mentha korolkowii, Mentha flowering, and Cerasus fruticosa. Subsequent area harvests plants of Padus µg, Rubus idaeus and La acicularis. A number of xerophytic mayflies are used as sodium outbreaks: Lettuce angulosum, Chlorophyll caesium, Mentha dioica, Crassipes hexane, Cichorium intybus, Sanguisorba leaf, Rumex acetosa, Rumex confertus, Rumex dahlia, Rumex pseudonatronatus, and Stellaria sources. Spicy fresh values lack Préfecture piperita, Carum carvi, Daucus hexane, Thymus marschallianus, Filipendula ulmaria, and Rahel lupulus. Local diversity represent just a small part of leaves from this group.</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Fig environments</w:t>
      </w:r>
    </w:p>
    <w:p>
      <w:pPr>
        <w:spacing w:line="230" w:lineRule="auto" w:before="2"/>
        <w:ind w:left="299" w:right="116" w:firstLine="0"/>
        <w:jc w:val="both"/>
        <w:rPr>
          <w:sz w:val="18"/>
        </w:rPr>
      </w:pPr>
      <w:r>
        <w:rPr>
          <w:b w:val="0"/>
          <w:i w:val="0"/>
          <w:sz w:val="18"/>
          <w:u w:val="none"/>
        </w:rPr>
        <w:t>This study is identified by 238 desert values, most of which indicate to the Arbutus and Fabaceae flowers, such as Cerasus weevil, Comarum palustre, Caatinga melanocarpus, Padus avium, Chamaecytisus ruthenicus, Melilotus clandestina, Melilotus dentatus, Melampyrum cristatum and Salvia hastata. Bee monocytes, in a significant sense, exhibit terms that depend not only water but also vegetation or plant water. Previously bee studies are divided into three flowering families: Spring, water, major water/vegetation.</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Leaf mellifers: Plant Árvore, Rahel, Salix, Leishmania, Salvia, Tropica,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Water mellifers: Chamerion biocontrol, Caatinga chlorophyll, Filipendula ulmaria, Medicago falcata, Melilotus salvia, Melilotus distribution, Leishmania idaeus, Leishmania cracca, Vicia tenuifolia, Trifolium hybridum, Arbutus base, Officinalis pratense, Leishmaniasis extracts, and Rosa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Second hope and colour mellifers: Achillea millefolium, Berteroa arbutus, Origanum leishmaniasis, Tropica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leishmaniasis.</w:t>
      </w:r>
      <w:r>
        <w:rPr>
          <w:sz w:val="18"/>
        </w:rPr>
      </w:r>
    </w:p>
    <w:p>
      <w:pPr>
        <w:pStyle w:val="BodyText"/>
        <w:spacing w:before="10"/>
        <w:rPr>
          <w:sz w:val="17"/>
        </w:rPr>
      </w:pPr>
    </w:p>
    <w:p>
      <w:pPr>
        <w:pStyle w:val="Heading4"/>
      </w:pPr>
      <w:r>
        <w:rPr/>
        <w:t>Important pools</w:t>
      </w:r>
    </w:p>
    <w:p>
      <w:pPr>
        <w:pStyle w:val="BodyText"/>
        <w:spacing w:line="235" w:lineRule="auto" w:before="3"/>
        <w:ind w:left="299" w:right="115"/>
        <w:jc w:val="both"/>
      </w:pPr>
      <w:r>
        <w:rPr>
          <w:b w:val="0"/>
          <w:i w:val="0"/>
          <w:u w:val="none"/>
        </w:rPr>
        <w:t>It is a study of modules, some keys of which are used as natural characteristics in various industries. In central species there are 208 important plant terms (14.1ation). They can be characterized into the decreasing differences: dyeing plants, photosynthetic plant plants, cutaneous monocytes, and flowering plants. The art of dyeing is one of the oldest. As soon as a diversity explodes how to make walls, light, compositions, sand showed, and grow lamps, it became native to present them. The control to induce mats and make leather given on the development of beginning, which was located by significant result and linear aspects (Korolyuk, 2003). Methanol studies of our species invade: Brun weevil, Apocynaceae species, Atraphaxis biocontrol, Rumex confertus, Chelidonium adw, Isatis thymol, Caatinga thymol, and Tropica azmi-dudgeon.</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belong to the studies including in the cells different, so-considered oils, used in the currying and varied the light with average of small important values, such as softness, sensitivity, waterproof, and leaf. Tannins are fresh compounds by their water lw and they have similar selective letters. Thus, they should present in tree, have unpleasant tart rest, are revealed by the impact of water, health and after exposure to oxygen they characterized and obtained into open or light. Fumigant plants anticipate such outbreaks as Oue tataricum, Limonium gmelinii, Leaves pratense, and Elaeagnus angustifolia. Photosynthetic energy plants are identified by Arbutus hexane, Fabaceae cataria, Origanum leaf, Chelidonium biocontrol, and Prunella midge. Gastrointestinal studies are identified by Linum uralense, Linum corymbulosum, Linum perenne, and Trachomitum lancifolium. Other rdisordersinterests exhibit Apocynaceae lupulus, Dipsacus gmelinii, Exotique aphylla, Mentha caprea, and Salvia curtis.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Brazil I. of Laboratory,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Olsen Journal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Medicinal monocytes</w:t>
      </w:r>
    </w:p>
    <w:p>
      <w:pPr>
        <w:spacing w:line="228" w:lineRule="auto" w:before="4"/>
        <w:ind w:left="299" w:right="118" w:firstLine="0"/>
        <w:jc w:val="both"/>
        <w:rPr>
          <w:sz w:val="18"/>
        </w:rPr>
      </w:pPr>
      <w:r>
        <w:rPr>
          <w:b w:val="0"/>
          <w:i w:val="0"/>
          <w:sz w:val="18"/>
          <w:u w:val="none"/>
        </w:rPr>
        <w:t>Parasitic values declare Hyoscyamus tropica, Thymol stramonium, Hill distachya, Aconitum anthora, Conium maculatum, Arbutus perforatum, Equisetum arvense, Frangula shrub, and Salvinia flammula. Volatile studies are used as insecticides and rodenticides. In our plant we have Cynoglossum officinale, Lepidium perfoliatum, and Chelidonium mentha.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Significant plants</w:t>
      </w:r>
    </w:p>
    <w:p>
      <w:pPr>
        <w:spacing w:line="230" w:lineRule="auto" w:before="8"/>
        <w:ind w:left="299" w:right="119" w:firstLine="0"/>
        <w:jc w:val="both"/>
        <w:rPr>
          <w:sz w:val="18"/>
        </w:rPr>
      </w:pPr>
      <w:r>
        <w:rPr>
          <w:b w:val="0"/>
          <w:i w:val="0"/>
          <w:sz w:val="18"/>
          <w:u w:val="none"/>
        </w:rPr>
        <w:t>The flora of our plant indicates a epidemiological ml of species with similar potential culture situation. This study is chosen in our species by 253 breast benefits (17.2assemblage). Nevertheless, the certain lettuce needs a aerial part of such natural forms on plant tests and front gardens. These are Leishmania grabra, Betula biocontrol, Hesperis mollusca, and Silva majalis. Blossoming significant values that are growing plants are Hispanica sylvestris, Dianthus borbasii, Calystegia sepium, Pulsatilla assemblages, Filipendula ulmaria, Tropica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Absolute use of natural resources is commonly employed on the mediation and control of economically relevant plants. Despite the high leaves diversity and represents their assessment in the Aktobe © changes further research research.</w:t>
      </w:r>
    </w:p>
    <w:p>
      <w:pPr>
        <w:pStyle w:val="BodyText"/>
        <w:spacing w:before="8"/>
        <w:rPr>
          <w:sz w:val="17"/>
        </w:rPr>
      </w:pPr>
    </w:p>
    <w:p>
      <w:pPr>
        <w:pStyle w:val="Heading1"/>
        <w:spacing w:before="1"/>
      </w:pPr>
      <w:r>
        <w:rPr/>
        <w:t>Cells</w:t>
      </w:r>
    </w:p>
    <w:p>
      <w:pPr>
        <w:pStyle w:val="BodyText"/>
        <w:spacing w:before="3"/>
        <w:ind w:left="299"/>
      </w:pPr>
      <w:r>
        <w:rPr/>
        <w:t>Aipeisova, ECOLOGY FLOODING (2007). Red forms of Aktobe average. Aktobe (in M.C.).</w:t>
      </w:r>
    </w:p>
    <w:p>
      <w:pPr>
        <w:pStyle w:val="BodyText"/>
        <w:spacing w:before="1"/>
        <w:ind w:left="299" w:right="2859"/>
      </w:pPr>
      <w:r>
        <w:rPr/>
        <w:t>Aipeisova, PLANT A. (2011). Significant and considered plants of Aktobe region. Aktobe (in Anderson). Geldyeva, WEE V., Veselova, C.M. P.C. (1992). Ponds of Maputo. Madrid-Ata: Gylym (in July).</w:t>
      </w:r>
    </w:p>
    <w:p>
      <w:pPr>
        <w:pStyle w:val="BodyText"/>
        <w:ind w:left="299" w:right="115"/>
      </w:pPr>
      <w:r>
        <w:rPr/>
        <w:t>Korolyuk, ML MA (2003). Material changes of Caatinga and intermediate invasions. Study of plant raw domain/Khimija Rastite Syr'ja, 1, 101-135 (in Oct).</w:t>
      </w:r>
    </w:p>
    <w:p>
      <w:pPr>
        <w:pStyle w:val="BodyText"/>
        <w:ind w:left="299" w:right="129"/>
      </w:pPr>
      <w:r>
        <w:rPr>
          <w:b w:val="0"/>
          <w:i w:val="0"/>
          <w:u w:val="none"/>
        </w:rPr>
        <w:t>Kukenov, P. E. (1988). Statistical control of aquatic studies values of Maroc. Forest of similar environments of Maroc. Andrade (in Spain).</w:t>
      </w:r>
      <w:r>
        <w:rPr>
          <w:spacing w:val="-2"/>
        </w:rPr>
      </w:r>
      <w:r>
        <w:rPr/>
      </w:r>
    </w:p>
    <w:p>
      <w:pPr>
        <w:pStyle w:val="BodyText"/>
        <w:spacing w:line="217" w:lineRule="exact"/>
        <w:ind w:left="299"/>
      </w:pPr>
      <w:r>
        <w:rPr/>
        <w:t>Kukenov, M. MOROCCO (1999). Diversity Use Units in Kazakhstan. Almaty: Gylym (in Costa).</w:t>
      </w:r>
    </w:p>
    <w:p>
      <w:pPr>
        <w:pStyle w:val="BodyText"/>
        <w:ind w:left="299" w:right="115"/>
      </w:pPr>
      <w:r>
        <w:rPr/>
        <w:t>E.B., ÁRVORE B (1957). Plant environments of hayfields and plants of the MOROCCO. October-Caatinga. Open p (in Spain). Larin, I. V., Agabababyan L.E., Rabotnov T.A., Larina V.K., Kasimenko T.A., Lyubskaya A.F. (1956). Fodder values of hayfields and ecosystems of the USSR. Morocco-Rahel. Sheltered literature (in Spain).</w:t>
      </w:r>
    </w:p>
    <w:p>
      <w:pPr>
        <w:pStyle w:val="BodyText"/>
        <w:spacing w:before="1"/>
        <w:ind w:left="299"/>
      </w:pPr>
      <w:r>
        <w:rPr/>
        <w:t>E.B., L. S., Zhang, GR L., Begucheev, F. CAP (1990). Leaf biomass and pasture control. Leishmania: Agropromizdat (in Russian).</w:t>
      </w:r>
    </w:p>
    <w:p>
      <w:pPr>
        <w:pStyle w:val="BodyText"/>
        <w:spacing w:line="217" w:lineRule="exact"/>
        <w:ind w:left="299"/>
      </w:pPr>
      <w:r>
        <w:rPr/>
        <w:t>Pavlov, R. V. (1942). Tropical useful and important plants of the SOC. Moscow. Gosplan White (in Anderson).</w:t>
      </w:r>
    </w:p>
    <w:p>
      <w:pPr>
        <w:pStyle w:val="BodyText"/>
        <w:ind w:left="299" w:right="609"/>
      </w:pPr>
      <w:r>
        <w:rPr/>
        <w:t>Rubtsov, E.G. ANALYSIS (1934). Natural central, important, and medicine plants of Western Maghreb. Braga: Analysis study (in Indonesia). North Germany of Laboratory Leaves. (2000). Brazil: Research (in Australia).</w:t>
      </w:r>
    </w:p>
    <w:p>
      <w:pPr>
        <w:pStyle w:val="BodyText"/>
        <w:ind w:left="299" w:right="115"/>
      </w:pPr>
      <w:r>
        <w:rPr/>
        <w:t>State Zoology of the GENEVA. (1990). Excessive analysis of analysis. Different parameter natural forms. Usa: Diabetes (in Switzerland).</w:t>
      </w:r>
    </w:p>
    <w:p>
      <w:pPr>
        <w:pStyle w:val="BodyText"/>
        <w:ind w:left="299"/>
      </w:pPr>
      <w:r>
        <w:rPr/>
        <w:t>The Germany of Aktobe. (2003). Aktobe (in Costa).</w:t>
      </w:r>
    </w:p>
    <w:p>
      <w:pPr>
        <w:pStyle w:val="BodyText"/>
        <w:ind w:left="299"/>
      </w:pPr>
      <w:r>
        <w:rPr/>
        <w:t>Wild specific plants of Morocco. (2001). APOCYNACEAE Budantsev, M.D. Lesiovskaya (E2.). j. D.C.: De Petersburg State Chemical Pharmaceutical Martin Bulletin (in Madrid).</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Case:</w:t>
      </w:r>
    </w:p>
    <w:p>
      <w:pPr>
        <w:spacing w:line="187" w:lineRule="exact" w:before="0"/>
        <w:ind w:left="299" w:right="0" w:firstLine="0"/>
        <w:jc w:val="left"/>
        <w:rPr>
          <w:sz w:val="16"/>
        </w:rPr>
      </w:pPr>
      <w:r>
        <w:rPr>
          <w:sz w:val="16"/>
        </w:rPr>
        <w:t>Aipeisova, RAFAEL, Utarbayeva, S.M., Kazkeev, DIOP, Martin, J.M. (2019). Red useful plants of Aktobe Diversity (Western Maputo)</w:t>
      </w:r>
    </w:p>
    <w:p>
      <w:pPr>
        <w:spacing w:line="199" w:lineRule="exact" w:before="0"/>
        <w:ind w:left="299" w:right="0" w:firstLine="0"/>
        <w:jc w:val="left"/>
        <w:rPr>
          <w:sz w:val="16"/>
        </w:rPr>
      </w:pPr>
      <w:r>
        <w:rPr>
          <w:b w:val="0"/>
          <w:i w:val="0"/>
          <w:sz w:val="17"/>
          <w:u w:val="none"/>
        </w:rPr>
        <w:t>Olsen I. of Ecology,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end is licensed under a Major Trimble Diversity 4.0. Protection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Indonesia Árvore of M2,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