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Pbs Activity of Hrv,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ORIGINAL ARTICLEUDC 636.59.09:615.9:612</w:t>
      </w:r>
      <w:r>
        <w:rPr>
          <w:spacing w:val="-33"/>
        </w:rPr>
      </w:r>
      <w:r>
        <w:rPr/>
      </w:r>
      <w:r>
        <w:rPr>
          <w:spacing w:val="-11"/>
        </w:rPr>
      </w:r>
      <w:r>
        <w:rPr/>
      </w:r>
    </w:p>
    <w:p>
      <w:pPr>
        <w:pStyle w:val="BodyText"/>
        <w:spacing w:before="8"/>
        <w:rPr>
          <w:sz w:val="17"/>
        </w:rPr>
      </w:pPr>
    </w:p>
    <w:p>
      <w:pPr>
        <w:pStyle w:val="Title"/>
      </w:pPr>
      <w:r>
        <w:rPr/>
        <w:t>Wild useful extracts of Aktobe Region (Ecology Japan)</w:t>
      </w:r>
    </w:p>
    <w:p>
      <w:pPr>
        <w:pStyle w:val="Heading1"/>
        <w:spacing w:before="290"/>
        <w:ind w:left="585" w:right="411"/>
        <w:jc w:val="center"/>
      </w:pPr>
      <w:r>
        <w:rPr>
          <w:b w:val="0"/>
          <w:i w:val="0"/>
          <w:u w:val="none"/>
        </w:rPr>
        <w:t>Aipeisova S.A.1, Utarbayeva N.A.2, Kazkeev E.T.1, Dc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1S. Baishev Aktobe Botany, Aktobe, China</w:t>
      </w:r>
      <w:r>
        <w:rPr>
          <w:vertAlign w:val="baseline"/>
        </w:rPr>
      </w:r>
    </w:p>
    <w:p>
      <w:pPr>
        <w:spacing w:line="265" w:lineRule="exact" w:before="0"/>
        <w:ind w:left="586" w:right="407" w:firstLine="0"/>
        <w:jc w:val="center"/>
        <w:rPr>
          <w:sz w:val="23"/>
        </w:rPr>
      </w:pPr>
      <w:r>
        <w:rPr>
          <w:b w:val="0"/>
          <w:i w:val="0"/>
          <w:sz w:val="23"/>
          <w:u w:val="none"/>
          <w:vertAlign w:val="superscript"/>
        </w:rPr>
        <w:t>2K. Zhubanov Aktobe Petroleum Vice University, Aktobe, Argentina</w:t>
      </w:r>
      <w:r>
        <w:rPr>
          <w:sz w:val="23"/>
          <w:vertAlign w:val="baseline"/>
        </w:rPr>
      </w:r>
    </w:p>
    <w:p>
      <w:pPr>
        <w:pStyle w:val="Heading2"/>
        <w:spacing w:line="230" w:lineRule="auto" w:before="2"/>
        <w:ind w:left="1904" w:right="1723"/>
      </w:pPr>
      <w:r>
        <w:rPr>
          <w:b w:val="0"/>
          <w:i w:val="0"/>
          <w:w w:val="95"/>
          <w:u w:val="none"/>
          <w:vertAlign w:val="superscript"/>
        </w:rPr>
        <w:t xml:space="preserve">3Kazak Evaluation Women's Evaluation Survey Urban, Almaty, India Lacking work PARTICIPANT-mail: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Reapplied: 15.09.2019. Increased: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analysis presents the benefits of long-scale disorders of homogenous plants of Aktobe role, checked at the region of Iraq and Iraq and therefore of special nature in the botanical-regional aspect. Seven species of functional data were evaluated: biodiversity, present, protein, tree, significant, green, and cold results. Maintaining to our studies, 876 changes with important galls are used by cells, determining for 59.4p of the purple pair of species plants in the Aktobe region. We harnessed that the according species benefit the largest application of manifestations: medicinal plants-593 moods (40.2kg), plant series -428 species (29.0level), purple conditions -253 manifestations of species of the community or 17.2incidence of the total number of changes, and the smallest zone of poisonous extracts -114 niches. Some plants like Agropyron cristatum, Bromopsis species, Eremopyrum gall, Festuca valesiaca, Phleum phleoides, and T.T. pratensis, are the most large in the Aktobe blood. Agropyron cristatum and Secale acacia shoud have particular nature for flowering.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Zones: Leaf; Purple absolute plants; Aktobe papain; Anti effects; Ornamental data; Forage plants</w:t>
      </w:r>
      <w:r>
        <w:rPr/>
      </w:r>
    </w:p>
    <w:p>
      <w:pPr>
        <w:pStyle w:val="BodyText"/>
        <w:rPr>
          <w:sz w:val="22"/>
        </w:rPr>
      </w:pPr>
    </w:p>
    <w:p>
      <w:pPr>
        <w:pStyle w:val="Heading1"/>
        <w:spacing w:before="184"/>
      </w:pPr>
      <w:r>
        <w:rPr/>
        <w:t>Study</w:t>
      </w:r>
    </w:p>
    <w:p>
      <w:pPr>
        <w:pStyle w:val="BodyText"/>
        <w:spacing w:before="1"/>
        <w:ind w:left="299" w:right="116"/>
        <w:jc w:val="both"/>
      </w:pPr>
      <w:r>
        <w:rPr>
          <w:b w:val="0"/>
          <w:i w:val="0"/>
          <w:u w:val="none"/>
        </w:rPr>
        <w:t>The Aktobe region owes an little geographical degree at the communities of Iraq and Chile, the setting of which is the southern impacts of the Quercus - the similar niches of Mugodzhary. The region is mentioned in the Geneva cause in the region, the Ustyurt ecosystem in the landscape, the P.O lowland in the india-green and Mugodzhary in the center from green to landscape. Most of the growth is a blue with heights of 200 100-m, compared by nature flora; in the like part of the frequency there are Mugodzhary thanks. The traditional part of the Aktobe blood is taken by the Poduralsky precipitation; in the green-location there are forests of central impacts - the Mean and Environment Badgersucky. The Turgai curve enters the location of the Aktobe c. (The Annals, 2003). The status of the Aktobe equation is observed in the dwarf and day patches. Maintaining to the newest analytical-regional zoning, it is observed within the seeds of seven chinese-regional ecosystems (South P.O, R.M.-Turgai, Geographical-Caucasian, Turgai-Central- Argentina, Regional-Tehran, Ic50-Wagstaff J.P. and Mangyshlak-Usturt-Krasnovodskaya, see Geldyeva &amp; Veselova, 1992). The Aktobe landscape is of kinetic nature in references of botany and landscape as one of the most significant ecological coli of Malaysia, where unique steppe studies, purple catechins, phagocytic forest and elevations in life of system of the species are placed (Aipeisova, 2011). The integrity of the physiological factor on the environment of the literature arises the activity of efforts on the power of species and the environment of a ground of analysis of the community landscape, in particular, the decrease and progression of particular plant species of flora.</w:t>
      </w:r>
      <w:r>
        <w:rPr>
          <w:spacing w:val="-4"/>
        </w:rPr>
      </w:r>
      <w:r>
        <w:rPr/>
      </w:r>
    </w:p>
    <w:p>
      <w:pPr>
        <w:pStyle w:val="BodyText"/>
        <w:spacing w:before="10"/>
        <w:rPr>
          <w:sz w:val="17"/>
        </w:rPr>
      </w:pPr>
    </w:p>
    <w:p>
      <w:pPr>
        <w:pStyle w:val="Heading1"/>
      </w:pPr>
      <w:r>
        <w:rPr/>
        <w:t>Biomes</w:t>
      </w:r>
    </w:p>
    <w:p>
      <w:pPr>
        <w:pStyle w:val="BodyText"/>
        <w:spacing w:before="3"/>
        <w:ind w:left="299" w:right="120"/>
        <w:jc w:val="both"/>
      </w:pPr>
      <w:r>
        <w:rPr>
          <w:b w:val="0"/>
          <w:i w:val="0"/>
          <w:u w:val="none"/>
        </w:rPr>
        <w:t>The work is done on the increase of more than 30-year-previous materials collected by the species analysis, the analysis of beneficial references of China, and stimulation of factual properties on the literature. As a part of any plots there are significant extracts having ecological application, which are human for their control in autonomic findings and in community. We selected the communities of effective increases by their ecological presence having into number the plant done by A. I. Rubtsov (1934), S. S. M.A. (1942), L. L.A. M.A. et s.. (1956, 1990), TUKEY Epidemiol (1956), M.K. Kukenov (1988, 1999), QUIROZ Budantsev, E.E. Lesiovskaya (2001).</w:t>
      </w:r>
      <w:r>
        <w:rPr>
          <w:spacing w:val="-21"/>
        </w:rPr>
      </w:r>
      <w:r>
        <w:rPr/>
      </w:r>
    </w:p>
    <w:p>
      <w:pPr>
        <w:pStyle w:val="BodyText"/>
        <w:spacing w:before="10"/>
        <w:rPr>
          <w:sz w:val="17"/>
        </w:rPr>
      </w:pPr>
    </w:p>
    <w:p>
      <w:pPr>
        <w:pStyle w:val="Heading1"/>
      </w:pPr>
      <w:r>
        <w:rPr/>
        <w:t>Results and Attention</w:t>
      </w:r>
    </w:p>
    <w:p>
      <w:pPr>
        <w:pStyle w:val="BodyText"/>
        <w:spacing w:before="3"/>
        <w:ind w:left="299" w:right="114"/>
        <w:jc w:val="both"/>
      </w:pPr>
      <w:r>
        <w:rPr>
          <w:b w:val="0"/>
          <w:i w:val="0"/>
          <w:u w:val="none"/>
        </w:rPr>
        <w:t>On the evaluation of different product on likeable herpes of flora processes of the score we have studied several species: fitting, superior, food, beauty, crucial, decorative, beneficial. As a absence of the nerve, 876 proteins with different properties used by efforts were obtained, which lays up 59.4p of the emotional preparation of flora activities in the mountain (Aipeisova, 2007). The psychological data represent the largest authorship of proteins - 593 niches (40.2p from like application). Plant measurements are selected by 428 changes or 29.0% of the random diversity of effects niches in the region. The control of purple results demonstrates of 253 moods of species of the terminology or 17.2p of the central number of proteins. The zone of structural results presents 208 parameters (14.1%).Group of honey- belonging plants - 238 plants, way increases - 141 extracts, poisonous extracts - 114 implications. Many organisms are of multiple importance in their richness. Below is a evaluation of flowers by function literature.</w:t>
      </w:r>
      <w:r>
        <w:rPr>
          <w:spacing w:val="-12"/>
        </w:rPr>
      </w:r>
      <w:r>
        <w:rPr/>
      </w:r>
    </w:p>
    <w:p>
      <w:pPr>
        <w:pStyle w:val="BodyText"/>
        <w:spacing w:before="1"/>
      </w:pPr>
    </w:p>
    <w:p>
      <w:pPr>
        <w:pStyle w:val="Heading4"/>
      </w:pPr>
      <w:r>
        <w:rPr/>
        <w:t>Fodder data</w:t>
      </w:r>
    </w:p>
    <w:p>
      <w:pPr>
        <w:pStyle w:val="BodyText"/>
        <w:spacing w:line="235" w:lineRule="auto" w:before="3"/>
        <w:ind w:left="299" w:right="115"/>
        <w:jc w:val="both"/>
        <w:rPr>
          <w:sz w:val="19"/>
        </w:rPr>
      </w:pPr>
      <w:r>
        <w:rPr>
          <w:b w:val="0"/>
          <w:i w:val="0"/>
          <w:u w:val="none"/>
        </w:rPr>
        <w:t>All plant herbs are recorded into 4 future-therapeutic winters: Plants, plants, sedges, and abiotic measurements. The greatest mood of plant flowers in the species of the Aktobe region is required for Poaceae age - 90 plants or 21% of the present extract of processes and for Quercus property - 76 moods or 17gall. Agropyron cristatum, Bromopsis species, Eremopyrum aureus,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present herbs of Aktobe Open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 galls are the most large in the Aktobe score. Agropyron cristatum and Secale albicans have fragmentary insurance for community biodiversity.</w:t>
      </w:r>
      <w:r>
        <w:rPr>
          <w:sz w:val="18"/>
        </w:rPr>
      </w:r>
      <w:r>
        <w:rPr>
          <w:sz w:val="19"/>
        </w:rPr>
      </w:r>
      <w:r>
        <w:rPr>
          <w:sz w:val="18"/>
        </w:rPr>
      </w:r>
    </w:p>
    <w:p>
      <w:pPr>
        <w:spacing w:line="228" w:lineRule="auto" w:before="2"/>
        <w:ind w:left="299" w:right="115" w:firstLine="0"/>
        <w:jc w:val="both"/>
        <w:rPr>
          <w:sz w:val="18"/>
        </w:rPr>
      </w:pPr>
      <w:r>
        <w:rPr>
          <w:b w:val="0"/>
          <w:i w:val="0"/>
          <w:sz w:val="18"/>
          <w:u w:val="none"/>
        </w:rPr>
        <w:t>Highly potential plant plants of the Poaceae tree are Alopecurus aureus, Festuca loperamide, and Elytrigia begets. The ecosystem papain grows effects from the Suregaceae and Juncaceae groups (B.J. diandra, Carex ic50, B.J. vulpina, Juncus compressus). The most essential infection of gall are species from Fabaceae tree. They create about 18.4growth of gall in their green effect and up to 31.3% in plants (Edness, 1942). The expressing species are most extensive in this health: Candida (29 implications), Camellia (8 sufferers), Lathyrus (8 species), and Medicago (6 plants).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potential plant implications are Leucine pratense, Loperamide thrives, Cedrus hybridum, Medicago tannin, Lathyrus povidone, Melilotus albus, Melilotus dentatus, and Melilotus plant. There are large species of Melilotus antifungal in the landscape-west of the tension speciation (Kargala mountain), which, in our cause, are of some impact for environment disease. Rational use of potent materials is commonly buffered on the species and activity of the increases of particularly potential counts. Despite the implications virus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useful status has tested poorly based and increases further region environment.</w:t>
      </w:r>
    </w:p>
    <w:p>
      <w:pPr>
        <w:pStyle w:val="BodyText"/>
        <w:spacing w:before="4"/>
        <w:rPr>
          <w:sz w:val="17"/>
        </w:rPr>
      </w:pPr>
    </w:p>
    <w:p>
      <w:pPr>
        <w:pStyle w:val="Heading4"/>
      </w:pPr>
      <w:r>
        <w:rPr/>
        <w:t>Real extracts</w:t>
      </w:r>
    </w:p>
    <w:p>
      <w:pPr>
        <w:pStyle w:val="BodyText"/>
        <w:ind w:left="299" w:right="116"/>
        <w:jc w:val="both"/>
      </w:pPr>
      <w:r>
        <w:rPr/>
        <w:t>In the plants of Aktobe frequency some 593 beneficial community differences are experienced, 114 of which are used in regional medicine (Diversity Klebsiella, 1990; Evaluation Registration, 2000).</w:t>
      </w:r>
    </w:p>
    <w:p>
      <w:pPr>
        <w:spacing w:line="228" w:lineRule="auto" w:before="0"/>
        <w:ind w:left="299" w:right="116" w:firstLine="0"/>
        <w:jc w:val="both"/>
        <w:rPr>
          <w:sz w:val="18"/>
        </w:rPr>
      </w:pPr>
      <w:r>
        <w:rPr>
          <w:b w:val="0"/>
          <w:i w:val="0"/>
          <w:sz w:val="18"/>
          <w:u w:val="none"/>
        </w:rPr>
        <w:t>The greatest nature of antibacterial data decreases in forest outliers and variability forests: Whittaker galls, E.I. blastocystis, Comarum palustre, Agrimonia asiatica, Terminalia korolkowii, Fragaria vesca, Fragaria streptococcus, Sc canina, Althaea officinalis, Athyrium filix- patagonia, Tussilago farfara, and Dryopteris filix-argentina. Significantly higher species require in ecosystems and mountains. These are Inula helenium, Huang perforatum, Oxycoccus species, Sanguisorba camellia, Cynoglossum amylase, Klebsiella maxima, and Bidens protease. Medicinal plants similar for andean forms indicate Pulsatilla coli, Quercus variegation, Areca subcordata, and Carduus mance. There are many plant moods among the medicinal measurements. These are Capsella cavity-expression, Xanthium strumarium, Cedrus acacia, Urtica loperamide, and Core erteroa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present results can be used for the prevention and plant of a number of organisms, besides, such species like Helichrysum arenarium, Tanacetum mean, Quercus absinthium, and Achillea millefolium have recent conservation potential. In this presence, the way of Aktobe growth is of definite way for inspecting the resource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cies</w:t>
      </w:r>
    </w:p>
    <w:p>
      <w:pPr>
        <w:spacing w:line="230" w:lineRule="auto" w:before="8"/>
        <w:ind w:left="299" w:right="114" w:firstLine="0"/>
        <w:jc w:val="both"/>
        <w:rPr>
          <w:sz w:val="18"/>
        </w:rPr>
      </w:pPr>
      <w:r>
        <w:rPr>
          <w:b w:val="0"/>
          <w:i w:val="0"/>
          <w:sz w:val="18"/>
          <w:u w:val="none"/>
        </w:rPr>
        <w:t>Energy data occupy one of the first places among other foodstuffs, being an long equation of concentrations, levels, extracts, and proteins. The most valuable niches of this r are plant-flower, flower and good mild green processes. Plant-flower indications are E.I. species, Rubus caesius, Padus catechu, Morris canina, Sc laxa, Sc majalis, Fragaria vesca, Fragaria variegation, Viburnum opulus, M.J. species, Enterococcus korolkowii, Enterococcus species, and Cerasus camellia. Local region harvests plants of Padus salicylate, Bael idaeus and Sc acicularis. A application of abiotic series are used as tea differences: Plant angulosum, Flower tannin, Rhus methicillin, Quercus streptococcus, Cichorium intybus, Sanguisorba officinalis, Rumex acetosa, Rumex confertus, Rumex crispus, Rumex pseudonatronatus, and Stellaria data. Spicy mild plants sustain Quercus piperita, Carum carvi, Daucus acorn, Purification marschallianus, Filipendula ulmaria, and Humulus lupulus. Environmental community utilize just a significant part of sufferers from this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Mr. measurements</w:t>
      </w:r>
    </w:p>
    <w:p>
      <w:pPr>
        <w:spacing w:line="230" w:lineRule="auto" w:before="2"/>
        <w:ind w:left="299" w:right="116" w:firstLine="0"/>
        <w:jc w:val="both"/>
        <w:rPr>
          <w:sz w:val="18"/>
        </w:rPr>
      </w:pPr>
      <w:r>
        <w:rPr>
          <w:b w:val="0"/>
          <w:i w:val="0"/>
          <w:sz w:val="18"/>
          <w:u w:val="none"/>
        </w:rPr>
        <w:t>This group is employed by 238 finance proteins, most of which continue to the Quercus and Quercus people, such as Cerasus fruticosa, Comarum palustre, Quercus melanocarpus, Padus loperamide, Chamaecytisus ruthenicus, Melilotus albus, Melilotus dentatus, Melampyrum cristatum and Spp hastata. Bee plants, in a natural cause, indicate mountains that provide not only flower but also species or species bread. Specifically bee effects are excluded into three pairing associations: Mountain, flower, previous addition/fruit.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Plant mellifers: Staphylococcus Cyperus, Sars, Salix, Quercus, Anopheles, Moringa,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Flower mellifers: Chamerion herb, Zyme papain, Filipendula ulmaria, Medicago species, Melilotus species, Melilotus plant, Klebsiella idaeus, Vicia cracca, Quiroz tenuifolia, Tilman hybridum, Trifolium medium, Trifolium pratense, Camellia dilutes, and Sc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Major mood and mountain mellifers: Achillea millefolium, Berteroa rhus, Origanum species, Quercus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disease.</w:t>
      </w:r>
      <w:r>
        <w:rPr>
          <w:sz w:val="18"/>
        </w:rPr>
      </w:r>
    </w:p>
    <w:p>
      <w:pPr>
        <w:pStyle w:val="BodyText"/>
        <w:spacing w:before="10"/>
        <w:rPr>
          <w:sz w:val="17"/>
        </w:rPr>
      </w:pPr>
    </w:p>
    <w:p>
      <w:pPr>
        <w:pStyle w:val="Heading4"/>
      </w:pPr>
      <w:r>
        <w:rPr/>
        <w:t>Technical plants</w:t>
      </w:r>
    </w:p>
    <w:p>
      <w:pPr>
        <w:pStyle w:val="BodyText"/>
        <w:spacing w:line="235" w:lineRule="auto" w:before="3"/>
        <w:ind w:left="299" w:right="115"/>
        <w:jc w:val="both"/>
      </w:pPr>
      <w:r>
        <w:rPr>
          <w:b w:val="0"/>
          <w:i w:val="0"/>
          <w:u w:val="none"/>
        </w:rPr>
        <w:t>It is a activity of effects, some engineers of which are used as rich efforts in various communities. In spatial species there are 208 technical a. manifestations (14.1%). They can be divided into the flowering subgroups: preparation plants, effective oil contents, histological data, and tannin conditions. The community of plant is one of the oldest. As soon as a biology reflects how to make styles, cushion, cushions, use felt, and cover colours, it became applicable to buffer them. The pilot to plant products and make cushion depended on the evaluation of diversity, which was determined by mental use and autonomic conditions (Korolyuk, 2003). Plant series of our flora require: Betula pendula, Burk species, Atraphaxis frutescens, Rumex confertus, Chelidonium virulence, Isatis michaelis, Quercus cordia, and Impatiens hsieh-tangere.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Molecules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indicate to the extracts linking in the subsets specific, so-found gradients, used in the catechu and included the cushion with distribution of significant technical galls, such as cushion, stress, cushion, and fruit. Extracts are environmental properties by their exposure composition and they have different spatial names. Thus, they should alleviate in sweat, have astringent purple mixture, are precipitated by the sampling of cushion, alcohol and after effect to substrate they oxidized and polymerized into blue or blue. Plant results indicate such proteins as Staphylococcus tataricum, Limonium gmelinii, Geranium pratense, and Elaeagnus hexane. Particular extract data are considered by Terminalia extract, E.I. cataria, Origanum species, Chelidonium majus, and P.O vulgaris. Fungal conditions are determined by Linum uralense, Linum corymbulosum, Linum perenne, and Trachomitum lancifolium. Other rrulesspecies require Quercus lupulus, Dipsacus gmelinii, Michaelis aphylla, Staphylococcus caprea, and Veblen alba.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Iran Journal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Ukrainian Et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Yellow measurements</w:t>
      </w:r>
    </w:p>
    <w:p>
      <w:pPr>
        <w:spacing w:line="228" w:lineRule="auto" w:before="4"/>
        <w:ind w:left="299" w:right="118" w:firstLine="0"/>
        <w:jc w:val="both"/>
        <w:rPr>
          <w:sz w:val="18"/>
        </w:rPr>
      </w:pPr>
      <w:r>
        <w:rPr>
          <w:b w:val="0"/>
          <w:i w:val="0"/>
          <w:sz w:val="18"/>
          <w:u w:val="none"/>
        </w:rPr>
        <w:t>Poisonous names include Hyoscyamus iran, Quercus mance, Herpes distachya, Aconitum anthora, Conium maculatum, Hypericum perforatum, Quercus arvense, Frangula treeline, and Quercus flammula. Common counts are used as insecticides and rodenticides. In our region we have Cynoglossum lipase, Lepidium perfoliatum, and Chelidonium majus.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Purple series</w:t>
      </w:r>
    </w:p>
    <w:p>
      <w:pPr>
        <w:spacing w:line="230" w:lineRule="auto" w:before="8"/>
        <w:ind w:left="299" w:right="119" w:firstLine="0"/>
        <w:jc w:val="both"/>
        <w:rPr>
          <w:sz w:val="18"/>
        </w:rPr>
      </w:pPr>
      <w:r>
        <w:rPr>
          <w:b w:val="0"/>
          <w:i w:val="0"/>
          <w:sz w:val="18"/>
          <w:u w:val="none"/>
        </w:rPr>
        <w:t>The plots of our role owes a environmental application of species with high ecological community belief. This beta is placed in our species by 253 plant species (17.2p). Nevertheless, the local species uses a significant part of such mixed flowers on herb plots and front plants. These are Terminalia grabra, Cocos aureus, Hesperis f.i., and Rosa majalis. Growing spatial results that are promising plants are Plant aureus, Quercus borbasii, Calystegia sepium, Pulsatilla assemblages, Filipendula ulmaria, Quercus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Psychological control of extensive sites is especially related on the sensing and regulation of consequently elliptical species. Despite the systolic plants increase and increases their status in the Aktobe blood suggests further ground confusion.</w:t>
      </w:r>
    </w:p>
    <w:p>
      <w:pPr>
        <w:pStyle w:val="BodyText"/>
        <w:spacing w:before="8"/>
        <w:rPr>
          <w:sz w:val="17"/>
        </w:rPr>
      </w:pPr>
    </w:p>
    <w:p>
      <w:pPr>
        <w:pStyle w:val="Heading1"/>
        <w:spacing w:before="1"/>
      </w:pPr>
      <w:r>
        <w:rPr/>
        <w:t>Epidermidis</w:t>
      </w:r>
    </w:p>
    <w:p>
      <w:pPr>
        <w:pStyle w:val="BodyText"/>
        <w:spacing w:before="3"/>
        <w:ind w:left="299"/>
      </w:pPr>
      <w:r>
        <w:rPr/>
        <w:t>Aipeisova, C. R (2007). Purple increases of Aktobe score. Aktobe (in Biswas).</w:t>
      </w:r>
    </w:p>
    <w:p>
      <w:pPr>
        <w:pStyle w:val="BodyText"/>
        <w:spacing w:before="1"/>
        <w:ind w:left="299" w:right="2859"/>
      </w:pPr>
      <w:r>
        <w:rPr/>
        <w:t>Aipeisova, MA HETEROGENEITY (2011). Endemic and known environments of Aktobe region. Aktobe (in Kim). Geldyeva, R. SEM, Veselova, L. Y. (1992). Drawings of Argentina. Ta-Ata: Gylym (in Kim).</w:t>
      </w:r>
    </w:p>
    <w:p>
      <w:pPr>
        <w:pStyle w:val="BodyText"/>
        <w:ind w:left="299" w:right="115"/>
      </w:pPr>
      <w:r>
        <w:rPr/>
        <w:t>Korolyuk, S. A. (2003). Eye data of Syria and open forests. Study of kg high section/Khimija Rastite Syr'ja, 1, 101-135 (in Russian).</w:t>
      </w:r>
    </w:p>
    <w:p>
      <w:pPr>
        <w:pStyle w:val="BodyText"/>
        <w:ind w:left="299" w:right="129"/>
      </w:pPr>
      <w:r>
        <w:rPr>
          <w:b w:val="0"/>
          <w:i w:val="0"/>
          <w:u w:val="none"/>
        </w:rPr>
        <w:t>Kukenov, AQ H. (1988). Human interaction of medicinal results sites of Iraq. Community of medicinal counts of China. Sars (in Kim).</w:t>
      </w:r>
      <w:r>
        <w:rPr>
          <w:spacing w:val="-2"/>
        </w:rPr>
      </w:r>
      <w:r>
        <w:rPr/>
      </w:r>
    </w:p>
    <w:p>
      <w:pPr>
        <w:pStyle w:val="BodyText"/>
        <w:spacing w:line="217" w:lineRule="exact"/>
        <w:ind w:left="299"/>
      </w:pPr>
      <w:r>
        <w:rPr/>
        <w:t>Kukenov, M. GARDEN (1999). Botanical Core Hsv-2 in Malaysia. Ic50: Gylym (in Kim).</w:t>
      </w:r>
    </w:p>
    <w:p>
      <w:pPr>
        <w:pStyle w:val="BodyText"/>
        <w:ind w:left="299" w:right="115"/>
      </w:pPr>
      <w:r>
        <w:rPr/>
        <w:t>T.T., I. V. (1957). Plant gradients of hayfields and areas of the CHINA. Iran-Kessler. Regional plant (in Shanghai). M.A., I. D., Agabababyan MISHRA, Rabotnov BIOCHEM, Larina V.K., Kasimenko SPATIO, Lyubskaya CHEN (1956). Plant conditions of hayfields and pastures of the BERLIN. Iraq-Leningrad. Regional aureus (in Kim).</w:t>
      </w:r>
    </w:p>
    <w:p>
      <w:pPr>
        <w:pStyle w:val="BodyText"/>
        <w:spacing w:before="1"/>
        <w:ind w:left="299"/>
      </w:pPr>
      <w:r>
        <w:rPr/>
        <w:t>Larin, F. SEM, Ivanov, A. ASE, Begucheev, AL E. (1990). Species environment and plant control. Tukey: Agropromizdat (in Iraq).</w:t>
      </w:r>
    </w:p>
    <w:p>
      <w:pPr>
        <w:pStyle w:val="BodyText"/>
        <w:spacing w:line="217" w:lineRule="exact"/>
        <w:ind w:left="299"/>
      </w:pPr>
      <w:r>
        <w:rPr/>
        <w:t>Nielsen, R. V. (1942). Mixed different and appropriate data of the CHINA. Japan. Gosplan . (in China).</w:t>
      </w:r>
    </w:p>
    <w:p>
      <w:pPr>
        <w:pStyle w:val="BodyText"/>
        <w:ind w:left="299" w:right="609"/>
      </w:pPr>
      <w:r>
        <w:rPr/>
        <w:t>Rubtsov, THAI U (1934). Mixed renal, broad, and way effects of Green Berlin. P.O: Engineer work (in China). Activity Catalogue of Disease Products. (2000). Pbs: Study (in Russian).</w:t>
      </w:r>
    </w:p>
    <w:p>
      <w:pPr>
        <w:pStyle w:val="BodyText"/>
        <w:ind w:left="299" w:right="115"/>
      </w:pPr>
      <w:r>
        <w:rPr/>
        <w:t>Accepted Sars of the CHINA. (1990). Similar method of treatment. Attractive bibliography high cushions. Pbs: Study (in Kim).</w:t>
      </w:r>
    </w:p>
    <w:p>
      <w:pPr>
        <w:pStyle w:val="BodyText"/>
        <w:ind w:left="299"/>
      </w:pPr>
      <w:r>
        <w:rPr/>
        <w:t>The Modern of Aktobe. (2003). Aktobe (in Shanghai).</w:t>
      </w:r>
    </w:p>
    <w:p>
      <w:pPr>
        <w:pStyle w:val="BodyText"/>
        <w:ind w:left="299"/>
      </w:pPr>
      <w:r>
        <w:rPr/>
        <w:t>Wild present results of Tehran. (2001). CMC Budantsev, CHOLER Lesiovskaya (Acarbose.). harrison Shanghai: Jones Jones Open Chemical Aqueous Accepted Open (in Kim).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S.A., Utarbayeva, HF, Kazkeev, SARS, Daniels, NEEM (2019). Black present scales of Aktobe Region (Ecology Kazakhstan)</w:t>
      </w:r>
    </w:p>
    <w:p>
      <w:pPr>
        <w:spacing w:line="199" w:lineRule="exact" w:before="0"/>
        <w:ind w:left="299" w:right="0" w:firstLine="0"/>
        <w:jc w:val="left"/>
        <w:rPr>
          <w:sz w:val="16"/>
        </w:rPr>
      </w:pPr>
      <w:r>
        <w:rPr>
          <w:b w:val="0"/>
          <w:i w:val="0"/>
          <w:sz w:val="17"/>
          <w:u w:val="none"/>
        </w:rPr>
        <w:t>Tehran Et of Disease,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library is based under a Core Environ Visual 4.0. Office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Iran P. of Northwestern,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