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1996 24</w:t>
      </w:r>
    </w:p>
    <w:p>
      <w:pPr>
        <w:spacing w:line="312" w:lineRule="auto" w:before="390"/>
        <w:ind w:left="100" w:right="39" w:firstLine="0"/>
        <w:jc w:val="left"/>
        <w:rPr>
          <w:b/>
          <w:sz w:val="36"/>
        </w:rPr>
      </w:pPr>
      <w:r>
        <w:rPr>
          <w:b/>
          <w:color w:val="202020"/>
          <w:sz w:val="36"/>
        </w:rPr>
        <w:t>RE-INSTATEMENT OF EXPORT CONTROLS ON SCHEDULE 7 ITEMS OF THE CUSTOMS (PROHIBITED EXPORTS) REGULATIONS</w:t>
      </w:r>
    </w:p>
    <w:p>
      <w:pPr>
        <w:pStyle w:val="BodyText"/>
        <w:spacing w:before="161"/>
        <w:ind w:right="174"/>
      </w:pPr>
      <w:r>
        <w:rPr/>
        <w:t>Australian Customs Notice (ACN) No. 96/17 dated 9 May 1996, advised of the removal of export licensing controls over commodities listed in Schedule 7 of the Customs (Prohibited Exports) Regulations. Schedule 7 goods covered: alumina, bauxite, coal, mineral sands (ilmenite, upgraded ilmenite or synthetic rutile, leucoxene, monazite, rutile, xenotime and zircon) and liquefied natural gas (LNG).</w:t>
      </w:r>
    </w:p>
    <w:p>
      <w:pPr>
        <w:pStyle w:val="BodyText"/>
        <w:spacing w:before="9"/>
        <w:ind w:left="0"/>
        <w:rPr>
          <w:sz w:val="17"/>
        </w:rPr>
      </w:pPr>
    </w:p>
    <w:p>
      <w:pPr>
        <w:pStyle w:val="BodyText"/>
        <w:ind w:right="278"/>
      </w:pPr>
      <w:r>
        <w:rPr/>
        <w:t>The exportation of Schedule 7 commodities had previously been prohibited under Regulation 9 of the Customs (Prohibited Exports) Regulations unless a permission in writing to export had been granted by the Minister for Primary Industries and Energy or an authorised person.</w:t>
      </w:r>
    </w:p>
    <w:p>
      <w:pPr>
        <w:pStyle w:val="BodyText"/>
        <w:spacing w:before="10"/>
        <w:ind w:left="0"/>
        <w:rPr>
          <w:sz w:val="17"/>
        </w:rPr>
      </w:pPr>
    </w:p>
    <w:p>
      <w:pPr>
        <w:pStyle w:val="BodyText"/>
        <w:ind w:right="150"/>
      </w:pPr>
      <w:r>
        <w:rPr/>
        <w:t>On 23 May 1996, the Senate disallowed the regulations which amended the Customs (Prohibited Exports) Regulations. The disallowance by the Senate re-instates the previous controls over the export of the Schedule 7 commodities.</w:t>
      </w:r>
    </w:p>
    <w:p>
      <w:pPr>
        <w:pStyle w:val="BodyText"/>
        <w:spacing w:before="10"/>
        <w:ind w:left="0"/>
        <w:rPr>
          <w:sz w:val="17"/>
        </w:rPr>
      </w:pPr>
    </w:p>
    <w:p>
      <w:pPr>
        <w:pStyle w:val="BodyText"/>
        <w:ind w:right="174"/>
      </w:pPr>
      <w:r>
        <w:rPr/>
        <w:t>Consequently, on and from 24 May 1996, exporters of alumina, bauxite, coal, mineral sands and LNG should note they are once more required to quote a Mineral Export Permit (MEP) number, issued by the Department of Primary Industries and Energy, on export entries.</w:t>
      </w:r>
    </w:p>
    <w:p>
      <w:pPr>
        <w:pStyle w:val="BodyText"/>
        <w:spacing w:before="10"/>
        <w:ind w:left="0"/>
        <w:rPr>
          <w:sz w:val="17"/>
        </w:rPr>
      </w:pPr>
    </w:p>
    <w:p>
      <w:pPr>
        <w:pStyle w:val="BodyText"/>
        <w:ind w:right="372"/>
      </w:pPr>
      <w:r>
        <w:rPr/>
        <w:t>Exporters will need to obtain a MEP number for those goods which were given an Authority to Deal during the period 30 April to 24 May 1996 inclusive.</w:t>
      </w:r>
    </w:p>
    <w:p>
      <w:pPr>
        <w:pStyle w:val="BodyText"/>
        <w:ind w:left="0"/>
        <w:rPr>
          <w:sz w:val="18"/>
        </w:rPr>
      </w:pPr>
    </w:p>
    <w:p>
      <w:pPr>
        <w:pStyle w:val="BodyText"/>
        <w:ind w:right="431"/>
      </w:pPr>
      <w:r>
        <w:rPr/>
        <w:t>Any enquiries concerning these amendments should be directed to the Department of Primary Industries and Energy, Canberra on (06) 272 5739.</w:t>
      </w:r>
    </w:p>
    <w:p>
      <w:pPr>
        <w:pStyle w:val="BodyText"/>
        <w:ind w:left="0"/>
        <w:rPr>
          <w:sz w:val="18"/>
        </w:rPr>
      </w:pPr>
    </w:p>
    <w:p>
      <w:pPr>
        <w:pStyle w:val="BodyText"/>
        <w:spacing w:line="241" w:lineRule="exact"/>
      </w:pPr>
      <w:r>
        <w:rPr/>
        <w:t>for (L B WOODWARD)</w:t>
      </w:r>
    </w:p>
    <w:p>
      <w:pPr>
        <w:pStyle w:val="BodyText"/>
        <w:spacing w:line="241" w:lineRule="exact"/>
      </w:pPr>
      <w:r>
        <w:rPr/>
        <w:t>CHIEF EXECUTIVE OFFICER</w:t>
      </w:r>
    </w:p>
    <w:p>
      <w:pPr>
        <w:pStyle w:val="BodyText"/>
        <w:spacing w:before="2"/>
        <w:ind w:left="0"/>
        <w:rPr>
          <w:sz w:val="18"/>
        </w:rPr>
      </w:pPr>
    </w:p>
    <w:p>
      <w:pPr>
        <w:pStyle w:val="BodyText"/>
      </w:pPr>
      <w:r>
        <w:rPr/>
        <w:t>5 June 1996</w:t>
      </w:r>
    </w:p>
    <w:p>
      <w:pPr>
        <w:pStyle w:val="BodyText"/>
        <w:spacing w:before="1"/>
        <w:ind w:left="0"/>
        <w:rPr>
          <w:sz w:val="18"/>
        </w:rPr>
      </w:pPr>
    </w:p>
    <w:p>
      <w:pPr>
        <w:pStyle w:val="BodyText"/>
      </w:pPr>
      <w:r>
        <w:rPr/>
        <w:t>(Cargo Facilitation File: C96/05122)</w:t>
      </w:r>
    </w:p>
    <w:p>
      <w:pPr>
        <w:pStyle w:val="BodyText"/>
        <w:spacing w:before="2"/>
        <w:ind w:left="0"/>
        <w:rPr>
          <w:sz w:val="18"/>
        </w:rPr>
      </w:pPr>
    </w:p>
    <w:p>
      <w:pPr>
        <w:pStyle w:val="BodyText"/>
        <w:ind w:right="243"/>
      </w:pPr>
      <w:r>
        <w:rPr/>
        <w:t>Exporters should note that any authority to deal obtained prior to 24 May 1996, and granted by Customs on the basis that no permissions were required under Regulation 9 of the Customs (Prohibited Exports) Regulations, were, under law, validly obtained. Accordingly, exportation can therefore take place without the requirement for further permissions.</w:t>
      </w:r>
    </w:p>
    <w:p>
      <w:pPr>
        <w:pStyle w:val="BodyText"/>
        <w:spacing w:before="8"/>
        <w:ind w:left="0"/>
        <w:rPr>
          <w:sz w:val="17"/>
        </w:rPr>
      </w:pPr>
    </w:p>
    <w:p>
      <w:pPr>
        <w:pStyle w:val="BodyText"/>
        <w:ind w:right="39"/>
      </w:pPr>
      <w:r>
        <w:rPr/>
        <w:t>From 24 May 1996, before Customs can deal with goods pursuant to Section 114 of the Customs Act, the relevant permissions are required.</w:t>
      </w:r>
    </w:p>
    <w:p>
      <w:pPr>
        <w:pStyle w:val="BodyText"/>
        <w:ind w:left="0"/>
        <w:rPr>
          <w:sz w:val="18"/>
        </w:rPr>
      </w:pPr>
    </w:p>
    <w:p>
      <w:pPr>
        <w:pStyle w:val="BodyText"/>
        <w:spacing w:before="1"/>
        <w:ind w:right="39"/>
      </w:pPr>
      <w:r>
        <w:rPr/>
        <w:t>However, exporters should also note that in respect of those goods previously granted export permission, unless exportation takes place within 30 days of the intended date of export, under the requirements of Section 116 of the Customs Act, the authority to deal is taken to have been revoked. In such circumstances, a new permit to export will be required to be obtained from the Department of Primary Industries and Energy.</w:t>
      </w:r>
    </w:p>
    <w:p>
      <w:pPr>
        <w:pStyle w:val="BodyText"/>
        <w:spacing w:before="8"/>
        <w:ind w:left="0"/>
        <w:rPr>
          <w:sz w:val="17"/>
        </w:rPr>
      </w:pPr>
    </w:p>
    <w:p>
      <w:pPr>
        <w:pStyle w:val="BodyText"/>
        <w:ind w:right="169"/>
        <w:jc w:val="both"/>
      </w:pPr>
      <w:r>
        <w:rPr/>
        <w:t>However, a Mineral Export Permit (MEP) number will be re-issued for those goods, which are now the subject </w:t>
      </w:r>
      <w:r>
        <w:rPr>
          <w:spacing w:val="-9"/>
        </w:rPr>
        <w:t>of </w:t>
      </w:r>
      <w:r>
        <w:rPr/>
        <w:t>the re-instated Customs (Prohibited Exports) Regulations, and for which an Authority to Deal was issued prior </w:t>
      </w:r>
      <w:r>
        <w:rPr>
          <w:spacing w:val="-9"/>
        </w:rPr>
        <w:t>to </w:t>
      </w:r>
      <w:r>
        <w:rPr/>
        <w:t>24 May (on the basis that no permission was required).</w:t>
      </w:r>
    </w:p>
    <w:sectPr>
      <w:type w:val="continuous"/>
      <w:pgSz w:w="11900" w:h="16840"/>
      <w:pgMar w:top="700" w:bottom="28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2020-12-09T22:45:32Z</dcterms:created>
  <dcterms:modified xsi:type="dcterms:W3CDTF">2020-12-09T22:45:32Z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