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25</w:t>
      </w:r>
    </w:p>
    <w:p>
      <w:pPr>
        <w:spacing w:line="312" w:lineRule="auto" w:before="390"/>
        <w:ind w:left="100" w:right="1080" w:firstLine="0"/>
        <w:jc w:val="left"/>
        <w:rPr>
          <w:b/>
          <w:sz w:val="36"/>
        </w:rPr>
      </w:pPr>
      <w:r>
        <w:rPr>
          <w:b/>
          <w:color w:val="202020"/>
          <w:sz w:val="36"/>
        </w:rPr>
        <w:t>AMENDMENTS TO CUSTOMS (PROHIBITED IMPORTS) REGULATIONS. INTRODUCTION OF NEW SIMPLIFIED CONTROL STRUCTURE FOR FIREARMS IMPORTS AND ASSOCIATED PARTS AND ACCESSORIES</w:t>
      </w:r>
    </w:p>
    <w:p>
      <w:pPr>
        <w:pStyle w:val="BodyText"/>
        <w:spacing w:before="163"/>
        <w:ind w:right="134"/>
      </w:pPr>
      <w:r>
        <w:rPr/>
        <w:t>Following the announcement by the Prime Minister that the Commonwealth Government would introduce a total ban on the import of automatic and semi-automatic weapons, the Customs (Prohibited Imports) Regulations were amended. These amendments were notified in Australian Customs Notice 96/19 and were Gazetted in Special Gazette S165 of 14 May 1996. The amendments had effect on and from that day.</w:t>
      </w:r>
    </w:p>
    <w:p>
      <w:pPr>
        <w:pStyle w:val="BodyText"/>
        <w:spacing w:before="9"/>
        <w:ind w:left="0"/>
        <w:rPr>
          <w:sz w:val="17"/>
        </w:rPr>
      </w:pPr>
    </w:p>
    <w:p>
      <w:pPr>
        <w:pStyle w:val="BodyText"/>
        <w:ind w:right="100"/>
      </w:pPr>
      <w:r>
        <w:rPr/>
        <w:t>In announcing these amendments the Minister responsible for Customs, the Hon Geoff Prosser MP, stated that the Customs regulations covering restrictions on firearms imports would be redrafted and simplified. This has now occurred and a new set of Customs (Prohibited Imports) Regulations relating to firearms comes into effect on and from 5 June 1996. Statutory Rule No. 91 refers.</w:t>
      </w:r>
    </w:p>
    <w:p>
      <w:pPr>
        <w:pStyle w:val="BodyText"/>
        <w:spacing w:before="8"/>
        <w:ind w:left="0"/>
        <w:rPr>
          <w:sz w:val="17"/>
        </w:rPr>
      </w:pPr>
    </w:p>
    <w:p>
      <w:pPr>
        <w:pStyle w:val="BodyText"/>
      </w:pPr>
      <w:r>
        <w:rPr/>
        <w:t>An outline of the new regulations is as follows:</w:t>
      </w:r>
    </w:p>
    <w:p>
      <w:pPr>
        <w:pStyle w:val="BodyText"/>
        <w:spacing w:before="3"/>
        <w:ind w:left="0"/>
        <w:rPr>
          <w:sz w:val="26"/>
        </w:rPr>
      </w:pPr>
    </w:p>
    <w:p>
      <w:pPr>
        <w:pStyle w:val="Heading1"/>
        <w:spacing w:before="1"/>
      </w:pPr>
      <w:r>
        <w:rPr>
          <w:color w:val="202020"/>
        </w:rPr>
        <w:t>Structure</w:t>
      </w:r>
    </w:p>
    <w:p>
      <w:pPr>
        <w:pStyle w:val="BodyText"/>
        <w:spacing w:before="255"/>
        <w:ind w:right="99"/>
      </w:pPr>
      <w:r>
        <w:rPr/>
        <w:t>The existing restrictions which are contained in six Regulations and three Schedules will be consolidated into new Regulation 4F and Schedule 6.</w:t>
      </w:r>
    </w:p>
    <w:p>
      <w:pPr>
        <w:pStyle w:val="BodyText"/>
        <w:spacing w:before="2"/>
        <w:ind w:left="0"/>
        <w:rPr>
          <w:sz w:val="26"/>
        </w:rPr>
      </w:pPr>
    </w:p>
    <w:p>
      <w:pPr>
        <w:pStyle w:val="Heading1"/>
      </w:pPr>
      <w:r>
        <w:rPr>
          <w:color w:val="202020"/>
        </w:rPr>
        <w:t>Regulation 4F</w:t>
      </w:r>
    </w:p>
    <w:p>
      <w:pPr>
        <w:pStyle w:val="BodyText"/>
        <w:spacing w:before="256"/>
        <w:ind w:right="146"/>
      </w:pPr>
      <w:r>
        <w:rPr/>
        <w:t>Regulation 4F provides that the importation of a firearm is prohibited unless it is a firearm to which an item in Part 2 of Schedule 6 applies and importation is in accordance with the requirements set out in that Part. These requirements will fall into four broad categories or "tests"</w:t>
      </w:r>
    </w:p>
    <w:p>
      <w:pPr>
        <w:pStyle w:val="BodyText"/>
        <w:spacing w:before="10"/>
        <w:ind w:left="0"/>
        <w:rPr>
          <w:sz w:val="17"/>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the official purpose</w:t>
      </w:r>
      <w:r>
        <w:rPr>
          <w:spacing w:val="-1"/>
          <w:sz w:val="21"/>
        </w:rPr>
        <w:t> </w:t>
      </w:r>
      <w:r>
        <w:rPr>
          <w:sz w:val="21"/>
        </w:rPr>
        <w:t>test</w:t>
      </w:r>
    </w:p>
    <w:p>
      <w:pPr>
        <w:pStyle w:val="BodyText"/>
        <w:spacing w:before="1"/>
        <w:ind w:left="0"/>
        <w:rPr>
          <w:sz w:val="18"/>
        </w:rPr>
      </w:pPr>
    </w:p>
    <w:p>
      <w:pPr>
        <w:pStyle w:val="ListParagraph"/>
        <w:numPr>
          <w:ilvl w:val="0"/>
          <w:numId w:val="1"/>
        </w:numPr>
        <w:tabs>
          <w:tab w:pos="334" w:val="left" w:leader="none"/>
        </w:tabs>
        <w:spacing w:line="240" w:lineRule="auto" w:before="1" w:after="0"/>
        <w:ind w:left="333" w:right="0" w:hanging="234"/>
        <w:jc w:val="left"/>
        <w:rPr>
          <w:sz w:val="21"/>
        </w:rPr>
      </w:pPr>
      <w:r>
        <w:rPr>
          <w:sz w:val="21"/>
        </w:rPr>
        <w:t>the specified purposes test</w:t>
      </w:r>
    </w:p>
    <w:p>
      <w:pPr>
        <w:pStyle w:val="BodyText"/>
        <w:spacing w:before="1"/>
        <w:ind w:left="0"/>
        <w:rPr>
          <w:sz w:val="18"/>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the specified person test; and</w:t>
      </w:r>
    </w:p>
    <w:p>
      <w:pPr>
        <w:pStyle w:val="BodyText"/>
        <w:spacing w:before="2"/>
        <w:ind w:left="0"/>
        <w:rPr>
          <w:sz w:val="18"/>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the Police authorisation test</w:t>
      </w:r>
    </w:p>
    <w:p>
      <w:pPr>
        <w:pStyle w:val="BodyText"/>
        <w:spacing w:before="1"/>
        <w:ind w:left="0"/>
        <w:rPr>
          <w:sz w:val="18"/>
        </w:rPr>
      </w:pPr>
    </w:p>
    <w:p>
      <w:pPr>
        <w:pStyle w:val="BodyText"/>
        <w:ind w:right="180"/>
      </w:pPr>
      <w:r>
        <w:rPr/>
        <w:t>The details of each test are set out in Part 1 of Schedule 6. Further conditions are specified in Part 3 of Schedule 6.</w:t>
      </w:r>
    </w:p>
    <w:p>
      <w:pPr>
        <w:pStyle w:val="BodyText"/>
        <w:spacing w:before="2"/>
        <w:ind w:left="0"/>
        <w:rPr>
          <w:sz w:val="26"/>
        </w:rPr>
      </w:pPr>
    </w:p>
    <w:p>
      <w:pPr>
        <w:pStyle w:val="Heading1"/>
      </w:pPr>
      <w:r>
        <w:rPr>
          <w:color w:val="202020"/>
        </w:rPr>
        <w:t>Unique Serial Number</w:t>
      </w:r>
    </w:p>
    <w:p>
      <w:pPr>
        <w:pStyle w:val="BodyText"/>
        <w:spacing w:before="256"/>
      </w:pPr>
      <w:r>
        <w:rPr/>
        <w:t>All firearms being imported will be required to bear a unique serial number which will be essential to the effective implementation of a national registration scheme</w:t>
      </w:r>
    </w:p>
    <w:p>
      <w:pPr>
        <w:pStyle w:val="BodyText"/>
        <w:spacing w:before="1"/>
        <w:ind w:left="0"/>
        <w:rPr>
          <w:sz w:val="26"/>
        </w:rPr>
      </w:pPr>
    </w:p>
    <w:p>
      <w:pPr>
        <w:pStyle w:val="Heading1"/>
        <w:spacing w:before="1"/>
      </w:pPr>
      <w:r>
        <w:rPr>
          <w:color w:val="202020"/>
        </w:rPr>
        <w:t>Definition of "Firearm"</w:t>
      </w:r>
    </w:p>
    <w:p>
      <w:pPr>
        <w:pStyle w:val="BodyText"/>
        <w:spacing w:before="255"/>
        <w:ind w:right="298"/>
      </w:pPr>
      <w:r>
        <w:rPr/>
        <w:t>The present definition of "firearm" has been expanded to include articles which resemble a firearm (whether or not the device actually performs the functions of a firearm). This will result in such articles being subject to the same controls as the firearms they resemble and will directly address Government concerns with the increasing use of such devices in criminal activities.</w:t>
      </w:r>
    </w:p>
    <w:p>
      <w:pPr>
        <w:pStyle w:val="BodyText"/>
        <w:spacing w:before="11"/>
        <w:ind w:left="0"/>
        <w:rPr>
          <w:sz w:val="25"/>
        </w:rPr>
      </w:pPr>
    </w:p>
    <w:p>
      <w:pPr>
        <w:pStyle w:val="Heading1"/>
      </w:pPr>
      <w:r>
        <w:rPr>
          <w:color w:val="202020"/>
        </w:rPr>
        <w:t>Warfare Items</w:t>
      </w:r>
    </w:p>
    <w:p>
      <w:pPr>
        <w:spacing w:after="0"/>
        <w:sectPr>
          <w:type w:val="continuous"/>
          <w:pgSz w:w="11900" w:h="16840"/>
          <w:pgMar w:top="700" w:bottom="280" w:left="600" w:right="540"/>
        </w:sectPr>
      </w:pPr>
    </w:p>
    <w:p>
      <w:pPr>
        <w:pStyle w:val="BodyText"/>
        <w:spacing w:before="78"/>
        <w:ind w:right="309"/>
      </w:pPr>
      <w:r>
        <w:rPr/>
        <w:t>The present definition of "firearm" has been modified to exclude large calibre weapons such as cannons, howitzers and mortars. The controls on such weapons will be the same as those for other warfare appliances in Schedule 2 of the Regulations.</w:t>
      </w:r>
    </w:p>
    <w:p>
      <w:pPr>
        <w:pStyle w:val="BodyText"/>
        <w:ind w:left="0"/>
        <w:rPr>
          <w:sz w:val="26"/>
        </w:rPr>
      </w:pPr>
    </w:p>
    <w:p>
      <w:pPr>
        <w:pStyle w:val="Heading1"/>
      </w:pPr>
      <w:r>
        <w:rPr>
          <w:color w:val="202020"/>
        </w:rPr>
        <w:t>Firearm Parts, Firearm Accessories, Magazines and Ammunition</w:t>
      </w:r>
    </w:p>
    <w:p>
      <w:pPr>
        <w:pStyle w:val="BodyText"/>
        <w:spacing w:before="256"/>
        <w:ind w:right="520"/>
      </w:pPr>
      <w:r>
        <w:rPr/>
        <w:t>Regulation 4F also prohibits the importation of parts, certain firearm accessories, magazines and ammunition unless these are also objects to which an item in Part 2 of Schedule 6 applies and their importation is in accordance with the requirements set out in that Part.</w:t>
      </w:r>
    </w:p>
    <w:p>
      <w:pPr>
        <w:pStyle w:val="BodyText"/>
        <w:ind w:left="0"/>
        <w:rPr>
          <w:sz w:val="26"/>
        </w:rPr>
      </w:pPr>
    </w:p>
    <w:p>
      <w:pPr>
        <w:pStyle w:val="Heading1"/>
      </w:pPr>
      <w:r>
        <w:rPr>
          <w:color w:val="202020"/>
        </w:rPr>
        <w:t>Firearm Parts</w:t>
      </w:r>
    </w:p>
    <w:p>
      <w:pPr>
        <w:pStyle w:val="BodyText"/>
        <w:spacing w:before="2"/>
        <w:ind w:left="0"/>
        <w:rPr>
          <w:sz w:val="14"/>
        </w:rPr>
      </w:pPr>
    </w:p>
    <w:p>
      <w:pPr>
        <w:pStyle w:val="BodyText"/>
        <w:spacing w:before="93"/>
        <w:ind w:left="393"/>
      </w:pPr>
      <w:r>
        <w:rPr/>
        <w:pict>
          <v:shape style="position:absolute;margin-left:38.75pt;margin-top:9.998877pt;width:3pt;height:3pt;mso-position-horizontal-relative:page;mso-position-vertical-relative:paragraph;z-index:15728640" coordorigin="775,200" coordsize="60,60" path="m805,260l792,258,783,252,777,243,775,230,777,217,783,207,792,202,805,200,818,202,828,207,833,217,835,230,833,243,828,252,818,258,805,260xe" filled="true" fillcolor="#000000" stroked="false">
            <v:path arrowok="t"/>
            <v:fill type="solid"/>
            <w10:wrap type="none"/>
          </v:shape>
        </w:pict>
      </w:r>
      <w:r>
        <w:rPr/>
        <w:t>All parts are subject to the same import controls as the firearms to which the part relates.</w:t>
      </w:r>
    </w:p>
    <w:p>
      <w:pPr>
        <w:pStyle w:val="BodyText"/>
        <w:spacing w:before="3"/>
        <w:ind w:left="0"/>
        <w:rPr>
          <w:sz w:val="26"/>
        </w:rPr>
      </w:pPr>
    </w:p>
    <w:p>
      <w:pPr>
        <w:pStyle w:val="Heading1"/>
      </w:pPr>
      <w:r>
        <w:rPr>
          <w:color w:val="202020"/>
        </w:rPr>
        <w:t>Firearm Magazines</w:t>
      </w:r>
    </w:p>
    <w:p>
      <w:pPr>
        <w:pStyle w:val="BodyText"/>
        <w:spacing w:before="2"/>
        <w:ind w:left="0"/>
        <w:rPr>
          <w:sz w:val="14"/>
        </w:rPr>
      </w:pPr>
    </w:p>
    <w:p>
      <w:pPr>
        <w:pStyle w:val="BodyText"/>
        <w:spacing w:before="93"/>
        <w:ind w:left="393"/>
      </w:pPr>
      <w:r>
        <w:rPr/>
        <w:pict>
          <v:shape style="position:absolute;margin-left:38.75pt;margin-top:9.998877pt;width:3pt;height:3pt;mso-position-horizontal-relative:page;mso-position-vertical-relative:paragraph;z-index:15729152" coordorigin="775,200" coordsize="60,60" path="m805,260l792,258,783,252,777,243,775,230,777,217,783,207,792,202,805,200,818,202,828,207,833,217,835,230,833,243,828,252,818,258,805,260xe" filled="true" fillcolor="#000000" stroked="false">
            <v:path arrowok="t"/>
            <v:fill type="solid"/>
            <w10:wrap type="none"/>
          </v:shape>
        </w:pict>
      </w:r>
      <w:r>
        <w:rPr/>
        <w:t>Controls on magazines have been expanded to cover all magazines and devices designed to increase </w:t>
      </w:r>
      <w:r>
        <w:rPr>
          <w:spacing w:val="-6"/>
        </w:rPr>
        <w:t>the </w:t>
      </w:r>
      <w:r>
        <w:rPr/>
        <w:t>capacity of a magazine.</w:t>
      </w:r>
    </w:p>
    <w:p>
      <w:pPr>
        <w:pStyle w:val="BodyText"/>
        <w:spacing w:before="2"/>
        <w:ind w:left="0"/>
        <w:rPr>
          <w:sz w:val="26"/>
        </w:rPr>
      </w:pPr>
    </w:p>
    <w:p>
      <w:pPr>
        <w:pStyle w:val="Heading1"/>
      </w:pPr>
      <w:r>
        <w:rPr>
          <w:color w:val="202020"/>
        </w:rPr>
        <w:t>Firearm</w:t>
      </w:r>
      <w:r>
        <w:rPr>
          <w:color w:val="202020"/>
          <w:spacing w:val="-1"/>
        </w:rPr>
        <w:t> </w:t>
      </w:r>
      <w:r>
        <w:rPr>
          <w:color w:val="202020"/>
        </w:rPr>
        <w:t>Accessories</w:t>
      </w:r>
    </w:p>
    <w:p>
      <w:pPr>
        <w:pStyle w:val="BodyText"/>
        <w:spacing w:before="1"/>
        <w:ind w:left="0"/>
        <w:rPr>
          <w:sz w:val="14"/>
        </w:rPr>
      </w:pPr>
    </w:p>
    <w:p>
      <w:pPr>
        <w:pStyle w:val="BodyText"/>
        <w:spacing w:before="94"/>
        <w:ind w:left="393" w:right="296"/>
      </w:pPr>
      <w:r>
        <w:rPr/>
        <w:pict>
          <v:shape style="position:absolute;margin-left:38.75pt;margin-top:10.048877pt;width:3pt;height:3pt;mso-position-horizontal-relative:page;mso-position-vertical-relative:paragraph;z-index:15729664" coordorigin="775,201" coordsize="60,60" path="m805,261l792,259,783,253,777,244,775,231,777,218,783,208,792,203,805,201,818,203,828,208,833,218,835,231,833,244,828,253,818,259,805,261xe" filled="true" fillcolor="#000000" stroked="false">
            <v:path arrowok="t"/>
            <v:fill type="solid"/>
            <w10:wrap type="none"/>
          </v:shape>
        </w:pict>
      </w:r>
      <w:r>
        <w:rPr/>
        <w:t>The control on firearm accessories has been retained and expanded to now include a silencer designed or intended for use with a firearm; a device designed to modify a firearm so as to give it a rapid fire capability; a device capable of converting a firearm to fire in a fully automatic condition; a folding stock; and a detachable stock.</w:t>
      </w:r>
    </w:p>
    <w:p>
      <w:pPr>
        <w:pStyle w:val="BodyText"/>
        <w:spacing w:before="10"/>
        <w:ind w:left="0"/>
        <w:rPr>
          <w:sz w:val="25"/>
        </w:rPr>
      </w:pPr>
    </w:p>
    <w:p>
      <w:pPr>
        <w:pStyle w:val="Heading1"/>
      </w:pPr>
      <w:r>
        <w:rPr>
          <w:color w:val="202020"/>
        </w:rPr>
        <w:t>Ammunition</w:t>
      </w:r>
    </w:p>
    <w:p>
      <w:pPr>
        <w:pStyle w:val="BodyText"/>
        <w:spacing w:before="1"/>
        <w:ind w:left="0"/>
        <w:rPr>
          <w:sz w:val="14"/>
        </w:rPr>
      </w:pPr>
    </w:p>
    <w:p>
      <w:pPr>
        <w:pStyle w:val="BodyText"/>
        <w:spacing w:before="94"/>
        <w:ind w:left="393" w:right="810"/>
      </w:pPr>
      <w:r>
        <w:rPr/>
        <w:pict>
          <v:shape style="position:absolute;margin-left:38.75pt;margin-top:10.048877pt;width:3pt;height:3pt;mso-position-horizontal-relative:page;mso-position-vertical-relative:paragraph;z-index:15730176" coordorigin="775,201" coordsize="60,60" path="m805,261l792,259,783,253,777,244,775,231,777,218,783,208,792,203,805,201,818,203,828,208,833,218,835,231,833,244,828,253,818,259,805,261xe" filled="true" fillcolor="#000000" stroked="false">
            <v:path arrowok="t"/>
            <v:fill type="solid"/>
            <w10:wrap type="none"/>
          </v:shape>
        </w:pict>
      </w:r>
      <w:r>
        <w:rPr/>
        <w:t>The amended regulations impose new restrictions on the importation of ammunition consistent with the controls which apply to firearms.</w:t>
      </w:r>
    </w:p>
    <w:p>
      <w:pPr>
        <w:pStyle w:val="BodyText"/>
        <w:spacing w:before="1"/>
        <w:ind w:left="0"/>
        <w:rPr>
          <w:sz w:val="26"/>
        </w:rPr>
      </w:pPr>
    </w:p>
    <w:p>
      <w:pPr>
        <w:spacing w:before="1"/>
        <w:ind w:left="100" w:right="0" w:firstLine="0"/>
        <w:jc w:val="left"/>
        <w:rPr>
          <w:b/>
          <w:sz w:val="27"/>
        </w:rPr>
      </w:pPr>
      <w:r>
        <w:rPr>
          <w:b/>
          <w:color w:val="202020"/>
          <w:sz w:val="27"/>
        </w:rPr>
        <w:t>NEW SCHEDULE 6 OF THE REGULATIONS</w:t>
      </w:r>
    </w:p>
    <w:p>
      <w:pPr>
        <w:pStyle w:val="BodyText"/>
        <w:spacing w:before="255"/>
      </w:pPr>
      <w:r>
        <w:rPr/>
        <w:t>The new Schedule 6 is divided into three parts as follows:</w:t>
      </w:r>
    </w:p>
    <w:p>
      <w:pPr>
        <w:pStyle w:val="BodyText"/>
        <w:spacing w:before="2"/>
        <w:ind w:left="0"/>
        <w:rPr>
          <w:sz w:val="18"/>
        </w:rPr>
      </w:pPr>
    </w:p>
    <w:p>
      <w:pPr>
        <w:pStyle w:val="Heading2"/>
        <w:spacing w:line="240" w:lineRule="auto"/>
      </w:pPr>
      <w:r>
        <w:rPr/>
        <w:t>PART 1 - Tests</w:t>
      </w:r>
    </w:p>
    <w:p>
      <w:pPr>
        <w:pStyle w:val="BodyText"/>
        <w:spacing w:before="1"/>
        <w:ind w:left="0"/>
        <w:rPr>
          <w:b/>
          <w:sz w:val="18"/>
        </w:rPr>
      </w:pPr>
    </w:p>
    <w:p>
      <w:pPr>
        <w:pStyle w:val="BodyText"/>
      </w:pPr>
      <w:r>
        <w:rPr/>
        <w:t>Part 1 sets out the details of each of the four importation "tests". Please note that while the official purposes test, the specified purposes test and the Police authorisation test reflect in large part previous controls, the official purposes test has been modified so that authority has been restricted to the Federal Attorney-General.</w:t>
      </w:r>
    </w:p>
    <w:p>
      <w:pPr>
        <w:pStyle w:val="BodyText"/>
        <w:spacing w:before="10"/>
        <w:ind w:left="0"/>
        <w:rPr>
          <w:sz w:val="17"/>
        </w:rPr>
      </w:pPr>
    </w:p>
    <w:p>
      <w:pPr>
        <w:pStyle w:val="BodyText"/>
        <w:spacing w:before="1"/>
        <w:ind w:right="298"/>
      </w:pPr>
      <w:r>
        <w:rPr/>
        <w:t>The specified persons test contains new requirements which recognise that certain persons may be allowed access to semi-automatic firearms for occupational purposes. The test will allow professional shooters to import such firearms in accordance with a permission granted by the Attorney-General but only if the shooter is also licensed by the relevant State, or Territory for that type of firearm.</w:t>
      </w:r>
    </w:p>
    <w:p>
      <w:pPr>
        <w:pStyle w:val="BodyText"/>
        <w:spacing w:before="8"/>
        <w:ind w:left="0"/>
        <w:rPr>
          <w:sz w:val="17"/>
        </w:rPr>
      </w:pPr>
    </w:p>
    <w:p>
      <w:pPr>
        <w:pStyle w:val="Heading2"/>
        <w:spacing w:line="240" w:lineRule="auto"/>
      </w:pPr>
      <w:r>
        <w:rPr/>
        <w:t>PART 2 - Specified Firearms, Firearm Parts, Firearm Accessories, Magazines and Ammunition</w:t>
      </w:r>
    </w:p>
    <w:p>
      <w:pPr>
        <w:pStyle w:val="BodyText"/>
        <w:spacing w:before="1"/>
        <w:ind w:left="0"/>
        <w:rPr>
          <w:b/>
          <w:sz w:val="18"/>
        </w:rPr>
      </w:pPr>
    </w:p>
    <w:p>
      <w:pPr>
        <w:pStyle w:val="BodyText"/>
        <w:spacing w:before="1"/>
        <w:ind w:right="134"/>
      </w:pPr>
      <w:r>
        <w:rPr/>
        <w:t>Part 2 of Schedule 6 is the core of the simplified structure, as it specifies each type of firearm and enables the immediate identification of the requirements with which the importation of the firearm must comply for the purposes of Regulation 4F. If the importation of a firearm is in accordance with the requirements set out in Part 2 its importation is not prohibited. But see Part 3 below for further conditions which may qualify imports.</w:t>
      </w:r>
    </w:p>
    <w:p>
      <w:pPr>
        <w:pStyle w:val="BodyText"/>
        <w:spacing w:before="8"/>
        <w:ind w:left="0"/>
        <w:rPr>
          <w:sz w:val="17"/>
        </w:rPr>
      </w:pPr>
    </w:p>
    <w:p>
      <w:pPr>
        <w:pStyle w:val="Heading2"/>
        <w:spacing w:line="240" w:lineRule="auto"/>
      </w:pPr>
      <w:r>
        <w:rPr/>
        <w:t>Additional Controlled Firearms</w:t>
      </w:r>
    </w:p>
    <w:p>
      <w:pPr>
        <w:pStyle w:val="BodyText"/>
        <w:spacing w:before="2"/>
        <w:ind w:left="0"/>
        <w:rPr>
          <w:b/>
          <w:sz w:val="18"/>
        </w:rPr>
      </w:pPr>
    </w:p>
    <w:p>
      <w:pPr>
        <w:pStyle w:val="BodyText"/>
      </w:pPr>
      <w:r>
        <w:rPr/>
        <w:t>Two additional types of firearms have been included. These are:</w:t>
      </w:r>
    </w:p>
    <w:p>
      <w:pPr>
        <w:pStyle w:val="BodyText"/>
        <w:spacing w:before="1"/>
        <w:ind w:left="0"/>
        <w:rPr>
          <w:sz w:val="18"/>
        </w:rPr>
      </w:pPr>
    </w:p>
    <w:p>
      <w:pPr>
        <w:pStyle w:val="BodyText"/>
        <w:ind w:left="393" w:right="423"/>
        <w:jc w:val="both"/>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single shot and repeating action paintball guns. Presently the importation of these firearms is not controlled whereas semi-automatic and automatic counterparts are prohibited absolutely. This amendment will </w:t>
      </w:r>
      <w:r>
        <w:rPr>
          <w:spacing w:val="-3"/>
        </w:rPr>
        <w:t>correct </w:t>
      </w:r>
      <w:r>
        <w:rPr/>
        <w:t>this anomaly and extend import controls to these firearms</w:t>
      </w:r>
    </w:p>
    <w:p>
      <w:pPr>
        <w:pStyle w:val="BodyText"/>
        <w:spacing w:line="237" w:lineRule="auto"/>
        <w:ind w:left="393" w:right="188"/>
        <w:jc w:val="both"/>
      </w:pPr>
      <w:r>
        <w:rPr/>
        <w:pict>
          <v:shape style="position:absolute;margin-left:38.75pt;margin-top:5.250388pt;width:3pt;height:3pt;mso-position-horizontal-relative:page;mso-position-vertical-relative:paragraph;z-index:15731200" coordorigin="775,105" coordsize="60,60" path="m805,165l792,163,783,158,777,148,775,135,777,122,783,113,792,107,805,105,818,107,828,113,833,122,835,135,833,148,828,158,818,163,805,165xe" filled="true" fillcolor="#000000" stroked="false">
            <v:path arrowok="t"/>
            <v:fill type="solid"/>
            <w10:wrap type="none"/>
          </v:shape>
        </w:pict>
      </w:r>
      <w:r>
        <w:rPr/>
        <w:t>hand-guns with a fully automatic firing capability. The importation of these hand-guns is now prohibited </w:t>
      </w:r>
      <w:r>
        <w:rPr>
          <w:spacing w:val="-3"/>
        </w:rPr>
        <w:t>except </w:t>
      </w:r>
      <w:r>
        <w:rPr/>
        <w:t>for official purposes.</w:t>
      </w:r>
    </w:p>
    <w:p>
      <w:pPr>
        <w:spacing w:after="0" w:line="237" w:lineRule="auto"/>
        <w:jc w:val="both"/>
        <w:sectPr>
          <w:pgSz w:w="11900" w:h="16840"/>
          <w:pgMar w:top="500" w:bottom="280" w:left="600" w:right="540"/>
        </w:sectPr>
      </w:pPr>
    </w:p>
    <w:p>
      <w:pPr>
        <w:pStyle w:val="Heading2"/>
        <w:spacing w:line="240" w:lineRule="auto" w:before="78"/>
      </w:pPr>
      <w:r>
        <w:rPr/>
        <w:t>Firearm Parts, Firearm Accessories, Magazines and Ammunition</w:t>
      </w:r>
    </w:p>
    <w:p>
      <w:pPr>
        <w:pStyle w:val="BodyText"/>
        <w:spacing w:before="1"/>
        <w:ind w:left="0"/>
        <w:rPr>
          <w:b/>
          <w:sz w:val="18"/>
        </w:rPr>
      </w:pPr>
    </w:p>
    <w:p>
      <w:pPr>
        <w:pStyle w:val="BodyText"/>
      </w:pPr>
      <w:r>
        <w:rPr/>
        <w:t>Part 2 also sets out the firearm parts, firearm accessories, magazines and ammunition for the purposes of Regulation 4F. Importation is not prohibited if a firearm part, or accessory, or magazine, or ammunition is referred to in Part 2, and when imported meets the requirements set out in Part 2.</w:t>
      </w:r>
    </w:p>
    <w:p>
      <w:pPr>
        <w:pStyle w:val="BodyText"/>
        <w:spacing w:before="10"/>
        <w:ind w:left="0"/>
        <w:rPr>
          <w:sz w:val="17"/>
        </w:rPr>
      </w:pPr>
    </w:p>
    <w:p>
      <w:pPr>
        <w:pStyle w:val="Heading2"/>
        <w:spacing w:line="240" w:lineRule="auto"/>
      </w:pPr>
      <w:r>
        <w:rPr/>
        <w:t>PART 3 - Conditions</w:t>
      </w:r>
    </w:p>
    <w:p>
      <w:pPr>
        <w:pStyle w:val="BodyText"/>
        <w:spacing w:before="2"/>
        <w:ind w:left="0"/>
        <w:rPr>
          <w:b/>
          <w:sz w:val="18"/>
        </w:rPr>
      </w:pPr>
    </w:p>
    <w:p>
      <w:pPr>
        <w:pStyle w:val="BodyText"/>
        <w:ind w:right="157"/>
      </w:pPr>
      <w:r>
        <w:rPr/>
        <w:t>Part 3 of Schedule 6 specifies further conditions to which a firearm is subject upon importation. These conditions, including safety testing, are identical to existing conditions applying to the importation of firearms.</w:t>
      </w:r>
    </w:p>
    <w:p>
      <w:pPr>
        <w:pStyle w:val="BodyText"/>
        <w:spacing w:line="450" w:lineRule="exact" w:before="44"/>
        <w:ind w:right="3320"/>
        <w:rPr>
          <w:b/>
        </w:rPr>
      </w:pPr>
      <w:r>
        <w:rPr/>
        <w:t>Further information regarding the amended Regulations may be obtained from: </w:t>
      </w:r>
      <w:r>
        <w:rPr>
          <w:b/>
        </w:rPr>
        <w:t>Canberra:</w:t>
      </w:r>
    </w:p>
    <w:p>
      <w:pPr>
        <w:pStyle w:val="BodyText"/>
        <w:spacing w:line="194" w:lineRule="exact"/>
      </w:pPr>
      <w:r>
        <w:rPr/>
        <w:t>Assistant Director</w:t>
      </w:r>
    </w:p>
    <w:p>
      <w:pPr>
        <w:pStyle w:val="BodyText"/>
        <w:ind w:right="6893"/>
      </w:pPr>
      <w:r>
        <w:rPr/>
        <w:t>Commerce Prohibitions and Restrictions Cargo Facilitation Branch</w:t>
      </w:r>
    </w:p>
    <w:p>
      <w:pPr>
        <w:pStyle w:val="BodyText"/>
        <w:spacing w:line="238" w:lineRule="exact"/>
      </w:pPr>
      <w:r>
        <w:rPr/>
        <w:t>Customs House</w:t>
      </w:r>
    </w:p>
    <w:p>
      <w:pPr>
        <w:pStyle w:val="BodyText"/>
        <w:spacing w:line="240" w:lineRule="exact"/>
      </w:pPr>
      <w:r>
        <w:rPr/>
        <w:t>5 Constitution Avenue</w:t>
      </w:r>
    </w:p>
    <w:p>
      <w:pPr>
        <w:pStyle w:val="BodyText"/>
        <w:spacing w:line="240" w:lineRule="exact"/>
      </w:pPr>
      <w:r>
        <w:rPr/>
        <w:t>Canberra ACT 2600</w:t>
      </w:r>
    </w:p>
    <w:p>
      <w:pPr>
        <w:pStyle w:val="BodyText"/>
        <w:spacing w:line="241" w:lineRule="exact"/>
      </w:pPr>
      <w:r>
        <w:rPr/>
        <w:t>Tel: 06 275 6571 / Fax: 06 275 6997</w:t>
      </w:r>
    </w:p>
    <w:p>
      <w:pPr>
        <w:pStyle w:val="BodyText"/>
        <w:spacing w:before="1"/>
        <w:ind w:left="0"/>
        <w:rPr>
          <w:sz w:val="18"/>
        </w:rPr>
      </w:pPr>
    </w:p>
    <w:p>
      <w:pPr>
        <w:pStyle w:val="Heading2"/>
      </w:pPr>
      <w:r>
        <w:rPr/>
        <w:t>New South Wales:</w:t>
      </w:r>
    </w:p>
    <w:p>
      <w:pPr>
        <w:pStyle w:val="BodyText"/>
        <w:spacing w:line="240" w:lineRule="exact"/>
      </w:pPr>
      <w:r>
        <w:rPr/>
        <w:t>Chief Inspector</w:t>
      </w:r>
    </w:p>
    <w:p>
      <w:pPr>
        <w:pStyle w:val="BodyText"/>
        <w:ind w:right="6893"/>
      </w:pPr>
      <w:r>
        <w:rPr/>
        <w:t>Commerce Prohibitions and Restrictions Level 3</w:t>
      </w:r>
    </w:p>
    <w:p>
      <w:pPr>
        <w:pStyle w:val="BodyText"/>
        <w:spacing w:line="237" w:lineRule="auto"/>
        <w:ind w:right="8515"/>
      </w:pPr>
      <w:r>
        <w:rPr/>
        <w:t>ACS Link Road Office Mascot NSW 2020</w:t>
      </w:r>
    </w:p>
    <w:p>
      <w:pPr>
        <w:pStyle w:val="BodyText"/>
      </w:pPr>
      <w:r>
        <w:rPr/>
        <w:t>Tel: 02 317 7020 / Fax: 02 317 7150</w:t>
      </w:r>
    </w:p>
    <w:p>
      <w:pPr>
        <w:pStyle w:val="BodyText"/>
        <w:spacing w:before="11"/>
        <w:ind w:left="0"/>
        <w:rPr>
          <w:sz w:val="17"/>
        </w:rPr>
      </w:pPr>
    </w:p>
    <w:p>
      <w:pPr>
        <w:pStyle w:val="Heading2"/>
      </w:pPr>
      <w:r>
        <w:rPr/>
        <w:t>Victoria:</w:t>
      </w:r>
    </w:p>
    <w:p>
      <w:pPr>
        <w:pStyle w:val="BodyText"/>
        <w:spacing w:line="240" w:lineRule="exact"/>
      </w:pPr>
      <w:r>
        <w:rPr/>
        <w:t>Inspector</w:t>
      </w:r>
    </w:p>
    <w:p>
      <w:pPr>
        <w:pStyle w:val="BodyText"/>
        <w:ind w:right="6893"/>
      </w:pPr>
      <w:r>
        <w:rPr/>
        <w:t>Commerce Prohibitions and </w:t>
      </w:r>
      <w:r>
        <w:rPr>
          <w:spacing w:val="-2"/>
        </w:rPr>
        <w:t>Restrictions </w:t>
      </w:r>
      <w:r>
        <w:rPr/>
        <w:t>10th Floor</w:t>
      </w:r>
    </w:p>
    <w:p>
      <w:pPr>
        <w:pStyle w:val="BodyText"/>
        <w:spacing w:line="237" w:lineRule="auto"/>
        <w:ind w:right="8713"/>
      </w:pPr>
      <w:r>
        <w:rPr/>
        <w:t>414 La Trobe Street Melbourne VIC 3000</w:t>
      </w:r>
    </w:p>
    <w:p>
      <w:pPr>
        <w:pStyle w:val="BodyText"/>
      </w:pPr>
      <w:r>
        <w:rPr/>
        <w:t>Tel: 03 9244 8423 / Fax: 03 9244 8440</w:t>
      </w:r>
    </w:p>
    <w:p>
      <w:pPr>
        <w:pStyle w:val="BodyText"/>
        <w:spacing w:before="11"/>
        <w:ind w:left="0"/>
        <w:rPr>
          <w:sz w:val="17"/>
        </w:rPr>
      </w:pPr>
    </w:p>
    <w:p>
      <w:pPr>
        <w:pStyle w:val="Heading2"/>
      </w:pPr>
      <w:r>
        <w:rPr/>
        <w:t>Queensland:</w:t>
      </w:r>
    </w:p>
    <w:p>
      <w:pPr>
        <w:pStyle w:val="BodyText"/>
        <w:spacing w:line="240" w:lineRule="exact"/>
      </w:pPr>
      <w:r>
        <w:rPr/>
        <w:t>Inspector</w:t>
      </w:r>
    </w:p>
    <w:p>
      <w:pPr>
        <w:pStyle w:val="BodyText"/>
        <w:ind w:right="8813"/>
      </w:pPr>
      <w:r>
        <w:rPr/>
        <w:t>Import Clearance Australia House 363 Adelaide </w:t>
      </w:r>
      <w:r>
        <w:rPr>
          <w:spacing w:val="-3"/>
        </w:rPr>
        <w:t>Street</w:t>
      </w:r>
    </w:p>
    <w:p>
      <w:pPr>
        <w:pStyle w:val="BodyText"/>
        <w:spacing w:line="236" w:lineRule="exact"/>
      </w:pPr>
      <w:r>
        <w:rPr/>
        <w:t>Brisbane QLD 4000</w:t>
      </w:r>
    </w:p>
    <w:p>
      <w:pPr>
        <w:pStyle w:val="BodyText"/>
        <w:spacing w:line="241" w:lineRule="exact"/>
      </w:pPr>
      <w:r>
        <w:rPr/>
        <w:t>Tel: 07 3835 3291 / Fax: 07 3835 3337</w:t>
      </w:r>
    </w:p>
    <w:p>
      <w:pPr>
        <w:pStyle w:val="BodyText"/>
        <w:spacing w:before="1"/>
        <w:ind w:left="0"/>
        <w:rPr>
          <w:sz w:val="18"/>
        </w:rPr>
      </w:pPr>
    </w:p>
    <w:p>
      <w:pPr>
        <w:pStyle w:val="Heading2"/>
      </w:pPr>
      <w:r>
        <w:rPr/>
        <w:t>Western Australia:</w:t>
      </w:r>
    </w:p>
    <w:p>
      <w:pPr>
        <w:pStyle w:val="BodyText"/>
        <w:spacing w:line="240" w:lineRule="exact"/>
      </w:pPr>
      <w:r>
        <w:rPr/>
        <w:t>Inspector</w:t>
      </w:r>
    </w:p>
    <w:p>
      <w:pPr>
        <w:pStyle w:val="BodyText"/>
        <w:ind w:right="6893"/>
      </w:pPr>
      <w:r>
        <w:rPr/>
        <w:t>Commerce Prohibitions and Restrictions Customs House</w:t>
      </w:r>
    </w:p>
    <w:p>
      <w:pPr>
        <w:pStyle w:val="BodyText"/>
        <w:spacing w:line="238" w:lineRule="exact"/>
      </w:pPr>
      <w:r>
        <w:rPr/>
        <w:t>2 Henry Street</w:t>
      </w:r>
    </w:p>
    <w:p>
      <w:pPr>
        <w:pStyle w:val="BodyText"/>
        <w:spacing w:line="240" w:lineRule="exact"/>
      </w:pPr>
      <w:r>
        <w:rPr/>
        <w:t>Fremantle, WA 6160</w:t>
      </w:r>
    </w:p>
    <w:p>
      <w:pPr>
        <w:pStyle w:val="BodyText"/>
        <w:spacing w:line="241" w:lineRule="exact"/>
      </w:pPr>
      <w:r>
        <w:rPr/>
        <w:t>Tel: 09 430 1405 / Fax:09 430 1751</w:t>
      </w:r>
    </w:p>
    <w:p>
      <w:pPr>
        <w:pStyle w:val="BodyText"/>
        <w:spacing w:before="1"/>
        <w:ind w:left="0"/>
        <w:rPr>
          <w:sz w:val="18"/>
        </w:rPr>
      </w:pPr>
    </w:p>
    <w:p>
      <w:pPr>
        <w:pStyle w:val="Heading2"/>
      </w:pPr>
      <w:r>
        <w:rPr/>
        <w:t>South Australia:</w:t>
      </w:r>
    </w:p>
    <w:p>
      <w:pPr>
        <w:pStyle w:val="BodyText"/>
        <w:spacing w:line="240" w:lineRule="exact"/>
      </w:pPr>
      <w:r>
        <w:rPr/>
        <w:t>Inspector</w:t>
      </w:r>
    </w:p>
    <w:p>
      <w:pPr>
        <w:pStyle w:val="BodyText"/>
        <w:ind w:right="6893"/>
      </w:pPr>
      <w:r>
        <w:rPr/>
        <w:t>Commerce Prohibitions and Restrictions Customs House</w:t>
      </w:r>
    </w:p>
    <w:p>
      <w:pPr>
        <w:pStyle w:val="BodyText"/>
        <w:spacing w:line="237" w:lineRule="auto"/>
        <w:ind w:right="8515"/>
      </w:pPr>
      <w:r>
        <w:rPr/>
        <w:t>220 Commercial Road Port Adelaide SA 5015</w:t>
      </w:r>
    </w:p>
    <w:p>
      <w:pPr>
        <w:pStyle w:val="BodyText"/>
      </w:pPr>
      <w:r>
        <w:rPr/>
        <w:t>Tel: 08 47 9378 / Fax: 08 47 9349</w:t>
      </w:r>
    </w:p>
    <w:p>
      <w:pPr>
        <w:pStyle w:val="BodyText"/>
        <w:spacing w:before="11"/>
        <w:ind w:left="0"/>
        <w:rPr>
          <w:sz w:val="17"/>
        </w:rPr>
      </w:pPr>
    </w:p>
    <w:p>
      <w:pPr>
        <w:spacing w:before="0"/>
        <w:ind w:left="100" w:right="8515" w:firstLine="0"/>
        <w:jc w:val="left"/>
        <w:rPr>
          <w:sz w:val="21"/>
        </w:rPr>
      </w:pPr>
      <w:r>
        <w:rPr>
          <w:b/>
          <w:sz w:val="21"/>
        </w:rPr>
        <w:t>Northern Territory: </w:t>
      </w:r>
      <w:r>
        <w:rPr>
          <w:sz w:val="21"/>
        </w:rPr>
        <w:t>Inspector</w:t>
      </w:r>
    </w:p>
    <w:p>
      <w:pPr>
        <w:pStyle w:val="BodyText"/>
        <w:spacing w:line="237" w:lineRule="auto"/>
        <w:ind w:right="9005"/>
      </w:pPr>
      <w:r>
        <w:rPr/>
        <w:t>Cargo Facilitation Customs House</w:t>
      </w:r>
    </w:p>
    <w:p>
      <w:pPr>
        <w:spacing w:after="0" w:line="237" w:lineRule="auto"/>
        <w:sectPr>
          <w:pgSz w:w="11900" w:h="16840"/>
          <w:pgMar w:top="500" w:bottom="280" w:left="600" w:right="540"/>
        </w:sectPr>
      </w:pPr>
    </w:p>
    <w:p>
      <w:pPr>
        <w:pStyle w:val="BodyText"/>
        <w:spacing w:before="78"/>
        <w:ind w:right="9017"/>
      </w:pPr>
      <w:r>
        <w:rPr/>
        <w:t>Harry Chan Drive Darwin NT 0800</w:t>
      </w:r>
    </w:p>
    <w:p>
      <w:pPr>
        <w:pStyle w:val="BodyText"/>
        <w:spacing w:line="239" w:lineRule="exact"/>
      </w:pPr>
      <w:r>
        <w:rPr/>
        <w:t>Tel: 08 8946 9851 / Fax: 08 8946 9953</w:t>
      </w:r>
    </w:p>
    <w:p>
      <w:pPr>
        <w:pStyle w:val="BodyText"/>
        <w:spacing w:before="1"/>
        <w:ind w:left="0"/>
        <w:rPr>
          <w:sz w:val="18"/>
        </w:rPr>
      </w:pPr>
    </w:p>
    <w:p>
      <w:pPr>
        <w:pStyle w:val="Heading2"/>
      </w:pPr>
      <w:r>
        <w:rPr/>
        <w:t>Tasmania:</w:t>
      </w:r>
    </w:p>
    <w:p>
      <w:pPr>
        <w:pStyle w:val="BodyText"/>
        <w:spacing w:line="240" w:lineRule="exact"/>
      </w:pPr>
      <w:r>
        <w:rPr/>
        <w:t>Inspector</w:t>
      </w:r>
    </w:p>
    <w:p>
      <w:pPr>
        <w:pStyle w:val="BodyText"/>
        <w:ind w:right="7873"/>
      </w:pPr>
      <w:r>
        <w:rPr/>
        <w:t>Exports and Entry Processing 25 Argyle Street</w:t>
      </w:r>
    </w:p>
    <w:p>
      <w:pPr>
        <w:pStyle w:val="BodyText"/>
        <w:spacing w:line="238" w:lineRule="exact"/>
      </w:pPr>
      <w:r>
        <w:rPr/>
        <w:t>Hobart </w:t>
      </w:r>
      <w:r>
        <w:rPr>
          <w:spacing w:val="-6"/>
        </w:rPr>
        <w:t>TAS</w:t>
      </w:r>
      <w:r>
        <w:rPr>
          <w:spacing w:val="2"/>
        </w:rPr>
        <w:t> </w:t>
      </w:r>
      <w:r>
        <w:rPr/>
        <w:t>7000</w:t>
      </w:r>
    </w:p>
    <w:p>
      <w:pPr>
        <w:pStyle w:val="BodyText"/>
        <w:spacing w:line="241" w:lineRule="exact"/>
      </w:pPr>
      <w:r>
        <w:rPr/>
        <w:t>Tel: 002 30 1201 / Fax: 002 30 1262</w:t>
      </w:r>
    </w:p>
    <w:p>
      <w:pPr>
        <w:pStyle w:val="BodyText"/>
        <w:spacing w:before="1"/>
        <w:ind w:left="0"/>
        <w:rPr>
          <w:sz w:val="18"/>
        </w:rPr>
      </w:pPr>
    </w:p>
    <w:p>
      <w:pPr>
        <w:pStyle w:val="BodyText"/>
        <w:spacing w:line="241" w:lineRule="exact"/>
      </w:pPr>
      <w:r>
        <w:rPr/>
        <w:t>(J.M. Drury)</w:t>
      </w:r>
    </w:p>
    <w:p>
      <w:pPr>
        <w:pStyle w:val="BodyText"/>
        <w:spacing w:line="446" w:lineRule="auto"/>
        <w:ind w:right="7731"/>
      </w:pPr>
      <w:r>
        <w:rPr/>
        <w:t>Deputy Chief Executive </w:t>
      </w:r>
      <w:r>
        <w:rPr>
          <w:spacing w:val="-4"/>
        </w:rPr>
        <w:t>Officer </w:t>
      </w:r>
      <w:r>
        <w:rPr/>
        <w:t>4 June 1996</w:t>
      </w:r>
    </w:p>
    <w:p>
      <w:pPr>
        <w:pStyle w:val="BodyText"/>
        <w:spacing w:before="1"/>
      </w:pPr>
      <w:r>
        <w:rPr/>
        <w:t>(Cargo Facilitation: C96/06633)</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3" w:hanging="234"/>
        <w:jc w:val="left"/>
      </w:pPr>
      <w:rPr>
        <w:rFonts w:hint="default" w:ascii="Arial" w:hAnsi="Arial" w:eastAsia="Arial" w:cs="Arial"/>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sz w:val="27"/>
      <w:szCs w:val="27"/>
    </w:rPr>
  </w:style>
  <w:style w:styleId="Heading2" w:type="paragraph">
    <w:name w:val="Heading 2"/>
    <w:basedOn w:val="Normal"/>
    <w:uiPriority w:val="1"/>
    <w:qFormat/>
    <w:pPr>
      <w:spacing w:line="241" w:lineRule="exact"/>
      <w:ind w:left="100"/>
      <w:outlineLvl w:val="2"/>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2020-12-09T22:43:34Z</dcterms:created>
  <dcterms:modified xsi:type="dcterms:W3CDTF">2020-12-09T22:43:34Z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