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38</w:t>
      </w:r>
    </w:p>
    <w:p>
      <w:pPr>
        <w:spacing w:before="358"/>
        <w:ind w:left="108" w:right="0" w:firstLine="0"/>
        <w:jc w:val="left"/>
        <w:rPr>
          <w:b/>
          <w:sz w:val="32"/>
        </w:rPr>
      </w:pPr>
      <w:r>
        <w:rPr>
          <w:b/>
          <w:color w:val="202020"/>
          <w:sz w:val="32"/>
        </w:rPr>
        <w:t>GUIDELINES ON PRUDENTIAL AUDIT</w:t>
      </w:r>
    </w:p>
    <w:p>
      <w:pPr>
        <w:pStyle w:val="BodyText"/>
        <w:spacing w:before="255"/>
        <w:ind w:left="108" w:right="195"/>
      </w:pPr>
      <w:r>
        <w:rPr/>
        <w:t>The Government's response to the Review of the Australian Customs Service required that a working party be established to fully investigate the concept of prudential audit. The Working Partyreported on 27 July 1995.</w:t>
      </w:r>
    </w:p>
    <w:p>
      <w:pPr>
        <w:pStyle w:val="BodyText"/>
        <w:spacing w:before="2"/>
        <w:rPr>
          <w:sz w:val="16"/>
        </w:rPr>
      </w:pPr>
    </w:p>
    <w:p>
      <w:pPr>
        <w:pStyle w:val="BodyText"/>
        <w:ind w:left="108"/>
      </w:pPr>
      <w:r>
        <w:rPr/>
        <w:t>The Working Party defined a prudential audit to be:</w:t>
      </w:r>
    </w:p>
    <w:p>
      <w:pPr>
        <w:pStyle w:val="BodyText"/>
        <w:spacing w:before="3"/>
        <w:rPr>
          <w:sz w:val="16"/>
        </w:rPr>
      </w:pPr>
    </w:p>
    <w:p>
      <w:pPr>
        <w:spacing w:line="446" w:lineRule="auto" w:before="1"/>
        <w:ind w:left="108" w:right="3811" w:firstLine="0"/>
        <w:jc w:val="left"/>
        <w:rPr>
          <w:sz w:val="19"/>
        </w:rPr>
      </w:pPr>
      <w:r>
        <w:rPr>
          <w:b/>
          <w:sz w:val="19"/>
        </w:rPr>
        <w:t>"an audit arranged and funded by a company to assure itself about its level of compliance with statutory or other requirements". </w:t>
      </w:r>
      <w:r>
        <w:rPr>
          <w:sz w:val="19"/>
        </w:rPr>
        <w:t>The Working Party's conclusion and recommendations as advisedin ACN 95/57 were:</w:t>
      </w:r>
    </w:p>
    <w:p>
      <w:pPr>
        <w:spacing w:before="0"/>
        <w:ind w:left="108" w:right="195" w:firstLine="0"/>
        <w:jc w:val="left"/>
        <w:rPr>
          <w:i/>
          <w:sz w:val="19"/>
        </w:rPr>
      </w:pPr>
      <w:r>
        <w:rPr>
          <w:i/>
          <w:sz w:val="19"/>
        </w:rPr>
        <w:t>Having regard to the various issues raised in the course of this exercise, the Working Party is of the view that the most viable option for the ACS is a </w:t>
      </w:r>
      <w:r>
        <w:rPr>
          <w:rFonts w:ascii="Arial-BoldItalicMT"/>
          <w:b/>
          <w:i/>
          <w:sz w:val="19"/>
        </w:rPr>
        <w:t>voluntary </w:t>
      </w:r>
      <w:r>
        <w:rPr>
          <w:i/>
          <w:sz w:val="19"/>
        </w:rPr>
        <w:t>arrangement under which:</w:t>
      </w:r>
    </w:p>
    <w:p>
      <w:pPr>
        <w:pStyle w:val="BodyText"/>
        <w:spacing w:before="1"/>
        <w:rPr>
          <w:i/>
          <w:sz w:val="16"/>
        </w:rPr>
      </w:pPr>
    </w:p>
    <w:p>
      <w:pPr>
        <w:spacing w:before="0"/>
        <w:ind w:left="108" w:right="0" w:firstLine="0"/>
        <w:jc w:val="left"/>
        <w:rPr>
          <w:i/>
          <w:sz w:val="19"/>
        </w:rPr>
      </w:pPr>
      <w:r>
        <w:rPr>
          <w:i/>
          <w:sz w:val="19"/>
        </w:rPr>
        <w:t>a company may choose (as it may do now) to commission a prudential audit to assure itself about its level of compliance with Customs legislation,</w:t>
      </w:r>
    </w:p>
    <w:p>
      <w:pPr>
        <w:pStyle w:val="BodyText"/>
        <w:spacing w:before="4"/>
        <w:rPr>
          <w:i/>
          <w:sz w:val="16"/>
        </w:rPr>
      </w:pPr>
    </w:p>
    <w:p>
      <w:pPr>
        <w:spacing w:before="0"/>
        <w:ind w:left="108" w:right="195" w:firstLine="0"/>
        <w:jc w:val="left"/>
        <w:rPr>
          <w:i/>
          <w:sz w:val="19"/>
        </w:rPr>
      </w:pPr>
      <w:r>
        <w:rPr>
          <w:i/>
          <w:sz w:val="19"/>
        </w:rPr>
        <w:t>Customs would provide guidelines aimed at assisting industry to ensure that such audits represent value for money (these should be tailored to take account of the commercial realities of particular industry sectors), and</w:t>
      </w:r>
    </w:p>
    <w:p>
      <w:pPr>
        <w:pStyle w:val="BodyText"/>
        <w:spacing w:before="1"/>
        <w:rPr>
          <w:i/>
          <w:sz w:val="16"/>
        </w:rPr>
      </w:pPr>
    </w:p>
    <w:p>
      <w:pPr>
        <w:spacing w:before="1"/>
        <w:ind w:left="108" w:right="0" w:firstLine="0"/>
        <w:jc w:val="left"/>
        <w:rPr>
          <w:i/>
          <w:sz w:val="19"/>
        </w:rPr>
      </w:pPr>
      <w:r>
        <w:rPr>
          <w:i/>
          <w:sz w:val="19"/>
        </w:rPr>
        <w:t>the results of such audits would be taken into account when Customs assesses the risk associated with that company.</w:t>
      </w:r>
    </w:p>
    <w:p>
      <w:pPr>
        <w:pStyle w:val="BodyText"/>
        <w:spacing w:before="3"/>
        <w:rPr>
          <w:i/>
          <w:sz w:val="16"/>
        </w:rPr>
      </w:pPr>
    </w:p>
    <w:p>
      <w:pPr>
        <w:spacing w:before="0"/>
        <w:ind w:left="108" w:right="195" w:firstLine="0"/>
        <w:jc w:val="left"/>
        <w:rPr>
          <w:i/>
          <w:sz w:val="19"/>
        </w:rPr>
      </w:pPr>
      <w:r>
        <w:rPr>
          <w:i/>
          <w:sz w:val="19"/>
        </w:rPr>
        <w:t>In this context it is important for industry to recognise that, while a prudential audit can be a worthwhile tool in ensuring compliance with Customs requirements, it cannot be regarded as a mechanism for avoiding a Customs audit.</w:t>
      </w:r>
    </w:p>
    <w:p>
      <w:pPr>
        <w:pStyle w:val="BodyText"/>
        <w:spacing w:before="2"/>
        <w:rPr>
          <w:i/>
          <w:sz w:val="16"/>
        </w:rPr>
      </w:pPr>
    </w:p>
    <w:p>
      <w:pPr>
        <w:pStyle w:val="BodyText"/>
        <w:ind w:left="108" w:right="195"/>
      </w:pPr>
      <w:r>
        <w:rPr/>
        <w:t>The primary objective of Customs audits is to assess a company's level of compliance with legal requirements. In doing this particular emphasis is placed on the evaluation of a company's internal systems, controls and procedures which produce the information communicated to Customs. In this regard, Customs has developed a company audit methodology based on Australian Auditing Standards (AUS 1). The philosophy and methodology have been published in Volumes 23 and 24 of the ACS Manuals which are now available for purchase by the public refers.</w:t>
      </w:r>
    </w:p>
    <w:p>
      <w:pPr>
        <w:pStyle w:val="BodyText"/>
        <w:spacing w:before="10"/>
        <w:rPr>
          <w:sz w:val="15"/>
        </w:rPr>
      </w:pPr>
    </w:p>
    <w:p>
      <w:pPr>
        <w:pStyle w:val="BodyText"/>
        <w:ind w:left="108"/>
      </w:pPr>
      <w:r>
        <w:rPr/>
        <w:t>As the adopted methodology has general application, the need to tailor the guidelines for particular industry sectors will be further considered in the light of operational experience.</w:t>
      </w:r>
    </w:p>
    <w:p>
      <w:pPr>
        <w:pStyle w:val="BodyText"/>
        <w:spacing w:before="4"/>
        <w:rPr>
          <w:sz w:val="16"/>
        </w:rPr>
      </w:pPr>
    </w:p>
    <w:p>
      <w:pPr>
        <w:pStyle w:val="BodyText"/>
        <w:ind w:left="108"/>
      </w:pPr>
      <w:r>
        <w:rPr/>
        <w:t>Companies choosing to commission a prudential audit to gain assurance about levels of compliance with Customs legislation may use the Customs Company Audit Methodology as a guide.</w:t>
      </w:r>
    </w:p>
    <w:p>
      <w:pPr>
        <w:pStyle w:val="BodyText"/>
        <w:spacing w:before="1"/>
        <w:rPr>
          <w:sz w:val="16"/>
        </w:rPr>
      </w:pPr>
    </w:p>
    <w:p>
      <w:pPr>
        <w:pStyle w:val="BodyText"/>
        <w:spacing w:before="1"/>
        <w:ind w:left="108" w:right="195"/>
      </w:pPr>
      <w:r>
        <w:rPr/>
        <w:t>The results of any prudential audits provided to Customs will influence decisions on risk assessments and judgements on the extent to which Customs audits need to be pursued. In assessing the results of a prudential audit, Customs will take into account the extent to which the audit meets professional standards in accordance with the published Customs guidelines.</w:t>
      </w:r>
    </w:p>
    <w:p>
      <w:pPr>
        <w:pStyle w:val="BodyText"/>
        <w:rPr>
          <w:sz w:val="16"/>
        </w:rPr>
      </w:pPr>
    </w:p>
    <w:p>
      <w:pPr>
        <w:pStyle w:val="BodyText"/>
        <w:spacing w:line="218" w:lineRule="exact"/>
        <w:ind w:left="108"/>
      </w:pPr>
      <w:r>
        <w:rPr/>
        <w:t>DAVID WIDDOWSON</w:t>
      </w:r>
    </w:p>
    <w:p>
      <w:pPr>
        <w:pStyle w:val="BodyText"/>
        <w:ind w:left="108" w:right="13218"/>
      </w:pPr>
      <w:r>
        <w:rPr/>
        <w:t>National Manager Commercial</w:t>
      </w:r>
      <w:r>
        <w:rPr>
          <w:spacing w:val="-22"/>
        </w:rPr>
        <w:t> </w:t>
      </w:r>
      <w:r>
        <w:rPr/>
        <w:t>Compliance</w:t>
      </w:r>
    </w:p>
    <w:p>
      <w:pPr>
        <w:pStyle w:val="BodyText"/>
        <w:spacing w:before="1"/>
        <w:rPr>
          <w:sz w:val="16"/>
        </w:rPr>
      </w:pPr>
    </w:p>
    <w:p>
      <w:pPr>
        <w:pStyle w:val="BodyText"/>
        <w:ind w:left="108" w:right="12852"/>
      </w:pPr>
      <w:r>
        <w:rPr/>
        <w:t>for CHIEF EXECUTIVE </w:t>
      </w:r>
      <w:r>
        <w:rPr>
          <w:spacing w:val="-3"/>
        </w:rPr>
        <w:t>OFFICER </w:t>
      </w:r>
      <w:r>
        <w:rPr/>
        <w:t>CANBERRA ACT</w:t>
      </w:r>
      <w:r>
        <w:rPr>
          <w:spacing w:val="-3"/>
        </w:rPr>
        <w:t> </w:t>
      </w:r>
      <w:r>
        <w:rPr/>
        <w:t>2601</w:t>
      </w:r>
    </w:p>
    <w:p>
      <w:pPr>
        <w:pStyle w:val="BodyText"/>
        <w:spacing w:before="1"/>
        <w:rPr>
          <w:sz w:val="16"/>
        </w:rPr>
      </w:pPr>
    </w:p>
    <w:p>
      <w:pPr>
        <w:pStyle w:val="BodyText"/>
        <w:spacing w:before="1"/>
        <w:ind w:left="108"/>
      </w:pPr>
      <w:r>
        <w:rPr/>
        <w:t>5 September 1996</w:t>
      </w:r>
    </w:p>
    <w:p>
      <w:pPr>
        <w:spacing w:after="0"/>
        <w:sectPr>
          <w:type w:val="continuous"/>
          <w:pgSz w:w="16840" w:h="11900" w:orient="landscape"/>
          <w:pgMar w:top="680" w:bottom="280" w:left="580" w:right="440"/>
        </w:sectPr>
      </w:pPr>
    </w:p>
    <w:p>
      <w:pPr>
        <w:spacing w:before="78"/>
        <w:ind w:left="108" w:right="0" w:firstLine="0"/>
        <w:jc w:val="left"/>
        <w:rPr>
          <w:b/>
          <w:sz w:val="19"/>
        </w:rPr>
      </w:pPr>
      <w:r>
        <w:rPr>
          <w:b/>
          <w:sz w:val="19"/>
        </w:rPr>
        <w:t>Regional Contact Officers:</w:t>
      </w:r>
    </w:p>
    <w:p>
      <w:pPr>
        <w:pStyle w:val="BodyText"/>
        <w:spacing w:before="5"/>
        <w:rPr>
          <w:b/>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797"/>
        <w:gridCol w:w="5132"/>
        <w:gridCol w:w="3656"/>
      </w:tblGrid>
      <w:tr>
        <w:trPr>
          <w:trHeight w:val="404" w:hRule="atLeast"/>
        </w:trPr>
        <w:tc>
          <w:tcPr>
            <w:tcW w:w="6797" w:type="dxa"/>
            <w:tcBorders>
              <w:left w:val="single" w:sz="6" w:space="0" w:color="808080"/>
              <w:right w:val="single" w:sz="6" w:space="0" w:color="808080"/>
            </w:tcBorders>
          </w:tcPr>
          <w:p>
            <w:pPr>
              <w:pStyle w:val="TableParagraph"/>
              <w:rPr>
                <w:b/>
                <w:sz w:val="19"/>
              </w:rPr>
            </w:pPr>
            <w:r>
              <w:rPr>
                <w:b/>
                <w:color w:val="ABABAB"/>
                <w:sz w:val="19"/>
              </w:rPr>
              <w:t>Region</w:t>
            </w:r>
          </w:p>
        </w:tc>
        <w:tc>
          <w:tcPr>
            <w:tcW w:w="5132" w:type="dxa"/>
            <w:tcBorders>
              <w:left w:val="single" w:sz="6" w:space="0" w:color="808080"/>
              <w:right w:val="single" w:sz="6" w:space="0" w:color="808080"/>
            </w:tcBorders>
          </w:tcPr>
          <w:p>
            <w:pPr>
              <w:pStyle w:val="TableParagraph"/>
              <w:rPr>
                <w:b/>
                <w:sz w:val="19"/>
              </w:rPr>
            </w:pPr>
            <w:r>
              <w:rPr>
                <w:b/>
                <w:color w:val="ABABAB"/>
                <w:sz w:val="19"/>
              </w:rPr>
              <w:t>Contact</w:t>
            </w:r>
          </w:p>
        </w:tc>
        <w:tc>
          <w:tcPr>
            <w:tcW w:w="3656" w:type="dxa"/>
            <w:tcBorders>
              <w:left w:val="single" w:sz="6" w:space="0" w:color="808080"/>
              <w:right w:val="nil"/>
            </w:tcBorders>
          </w:tcPr>
          <w:p>
            <w:pPr>
              <w:pStyle w:val="TableParagraph"/>
              <w:rPr>
                <w:b/>
                <w:sz w:val="19"/>
              </w:rPr>
            </w:pPr>
            <w:r>
              <w:rPr>
                <w:b/>
                <w:color w:val="ABABAB"/>
                <w:sz w:val="19"/>
              </w:rPr>
              <w:t>Phone</w:t>
            </w:r>
          </w:p>
        </w:tc>
      </w:tr>
      <w:tr>
        <w:trPr>
          <w:trHeight w:val="404" w:hRule="atLeast"/>
        </w:trPr>
        <w:tc>
          <w:tcPr>
            <w:tcW w:w="6797" w:type="dxa"/>
            <w:tcBorders>
              <w:left w:val="single" w:sz="6" w:space="0" w:color="808080"/>
            </w:tcBorders>
          </w:tcPr>
          <w:p>
            <w:pPr>
              <w:pStyle w:val="TableParagraph"/>
              <w:rPr>
                <w:sz w:val="19"/>
              </w:rPr>
            </w:pPr>
            <w:r>
              <w:rPr>
                <w:color w:val="202020"/>
                <w:sz w:val="19"/>
              </w:rPr>
              <w:t>New South Wales</w:t>
            </w:r>
          </w:p>
        </w:tc>
        <w:tc>
          <w:tcPr>
            <w:tcW w:w="5132" w:type="dxa"/>
          </w:tcPr>
          <w:p>
            <w:pPr>
              <w:pStyle w:val="TableParagraph"/>
              <w:rPr>
                <w:sz w:val="19"/>
              </w:rPr>
            </w:pPr>
            <w:r>
              <w:rPr>
                <w:color w:val="202020"/>
                <w:sz w:val="19"/>
              </w:rPr>
              <w:t>Tony Pass</w:t>
            </w:r>
          </w:p>
        </w:tc>
        <w:tc>
          <w:tcPr>
            <w:tcW w:w="3656" w:type="dxa"/>
            <w:tcBorders>
              <w:right w:val="nil"/>
            </w:tcBorders>
          </w:tcPr>
          <w:p>
            <w:pPr>
              <w:pStyle w:val="TableParagraph"/>
              <w:rPr>
                <w:sz w:val="19"/>
              </w:rPr>
            </w:pPr>
            <w:r>
              <w:rPr>
                <w:color w:val="202020"/>
                <w:sz w:val="19"/>
              </w:rPr>
              <w:t>02 92132304</w:t>
            </w:r>
          </w:p>
        </w:tc>
      </w:tr>
      <w:tr>
        <w:trPr>
          <w:trHeight w:val="404" w:hRule="atLeast"/>
        </w:trPr>
        <w:tc>
          <w:tcPr>
            <w:tcW w:w="6797" w:type="dxa"/>
            <w:tcBorders>
              <w:left w:val="single" w:sz="6" w:space="0" w:color="808080"/>
            </w:tcBorders>
          </w:tcPr>
          <w:p>
            <w:pPr>
              <w:pStyle w:val="TableParagraph"/>
              <w:rPr>
                <w:sz w:val="19"/>
              </w:rPr>
            </w:pPr>
            <w:r>
              <w:rPr>
                <w:color w:val="202020"/>
                <w:sz w:val="19"/>
              </w:rPr>
              <w:t>Victoria</w:t>
            </w:r>
          </w:p>
        </w:tc>
        <w:tc>
          <w:tcPr>
            <w:tcW w:w="5132" w:type="dxa"/>
          </w:tcPr>
          <w:p>
            <w:pPr>
              <w:pStyle w:val="TableParagraph"/>
              <w:rPr>
                <w:sz w:val="19"/>
              </w:rPr>
            </w:pPr>
            <w:r>
              <w:rPr>
                <w:color w:val="202020"/>
                <w:sz w:val="19"/>
              </w:rPr>
              <w:t>Rory Collins</w:t>
            </w:r>
          </w:p>
        </w:tc>
        <w:tc>
          <w:tcPr>
            <w:tcW w:w="3656" w:type="dxa"/>
            <w:tcBorders>
              <w:right w:val="nil"/>
            </w:tcBorders>
          </w:tcPr>
          <w:p>
            <w:pPr>
              <w:pStyle w:val="TableParagraph"/>
              <w:rPr>
                <w:sz w:val="19"/>
              </w:rPr>
            </w:pPr>
            <w:r>
              <w:rPr>
                <w:color w:val="202020"/>
                <w:sz w:val="19"/>
              </w:rPr>
              <w:t>03 92448332</w:t>
            </w:r>
          </w:p>
        </w:tc>
      </w:tr>
      <w:tr>
        <w:trPr>
          <w:trHeight w:val="404" w:hRule="atLeast"/>
        </w:trPr>
        <w:tc>
          <w:tcPr>
            <w:tcW w:w="6797" w:type="dxa"/>
            <w:tcBorders>
              <w:left w:val="single" w:sz="6" w:space="0" w:color="808080"/>
            </w:tcBorders>
          </w:tcPr>
          <w:p>
            <w:pPr>
              <w:pStyle w:val="TableParagraph"/>
              <w:rPr>
                <w:sz w:val="19"/>
              </w:rPr>
            </w:pPr>
            <w:r>
              <w:rPr>
                <w:color w:val="202020"/>
                <w:sz w:val="19"/>
              </w:rPr>
              <w:t>Queensland</w:t>
            </w:r>
          </w:p>
        </w:tc>
        <w:tc>
          <w:tcPr>
            <w:tcW w:w="5132" w:type="dxa"/>
          </w:tcPr>
          <w:p>
            <w:pPr>
              <w:pStyle w:val="TableParagraph"/>
              <w:rPr>
                <w:sz w:val="19"/>
              </w:rPr>
            </w:pPr>
            <w:r>
              <w:rPr>
                <w:color w:val="202020"/>
                <w:sz w:val="19"/>
              </w:rPr>
              <w:t>Michel Cafun</w:t>
            </w:r>
          </w:p>
        </w:tc>
        <w:tc>
          <w:tcPr>
            <w:tcW w:w="3656" w:type="dxa"/>
            <w:tcBorders>
              <w:right w:val="nil"/>
            </w:tcBorders>
          </w:tcPr>
          <w:p>
            <w:pPr>
              <w:pStyle w:val="TableParagraph"/>
              <w:rPr>
                <w:sz w:val="19"/>
              </w:rPr>
            </w:pPr>
            <w:r>
              <w:rPr>
                <w:color w:val="202020"/>
                <w:sz w:val="19"/>
              </w:rPr>
              <w:t>07 38353167</w:t>
            </w:r>
          </w:p>
        </w:tc>
      </w:tr>
      <w:tr>
        <w:trPr>
          <w:trHeight w:val="404" w:hRule="atLeast"/>
        </w:trPr>
        <w:tc>
          <w:tcPr>
            <w:tcW w:w="6797" w:type="dxa"/>
            <w:tcBorders>
              <w:left w:val="single" w:sz="6" w:space="0" w:color="808080"/>
            </w:tcBorders>
          </w:tcPr>
          <w:p>
            <w:pPr>
              <w:pStyle w:val="TableParagraph"/>
              <w:rPr>
                <w:sz w:val="19"/>
              </w:rPr>
            </w:pPr>
            <w:r>
              <w:rPr>
                <w:color w:val="202020"/>
                <w:sz w:val="19"/>
              </w:rPr>
              <w:t>Western Australia</w:t>
            </w:r>
          </w:p>
        </w:tc>
        <w:tc>
          <w:tcPr>
            <w:tcW w:w="5132" w:type="dxa"/>
          </w:tcPr>
          <w:p>
            <w:pPr>
              <w:pStyle w:val="TableParagraph"/>
              <w:rPr>
                <w:sz w:val="19"/>
              </w:rPr>
            </w:pPr>
            <w:r>
              <w:rPr>
                <w:color w:val="202020"/>
                <w:sz w:val="19"/>
              </w:rPr>
              <w:t>John Covich</w:t>
            </w:r>
          </w:p>
        </w:tc>
        <w:tc>
          <w:tcPr>
            <w:tcW w:w="3656" w:type="dxa"/>
            <w:tcBorders>
              <w:right w:val="nil"/>
            </w:tcBorders>
          </w:tcPr>
          <w:p>
            <w:pPr>
              <w:pStyle w:val="TableParagraph"/>
              <w:rPr>
                <w:sz w:val="19"/>
              </w:rPr>
            </w:pPr>
            <w:r>
              <w:rPr>
                <w:color w:val="202020"/>
                <w:sz w:val="19"/>
              </w:rPr>
              <w:t>09 43011565</w:t>
            </w:r>
          </w:p>
        </w:tc>
      </w:tr>
      <w:tr>
        <w:trPr>
          <w:trHeight w:val="404" w:hRule="atLeast"/>
        </w:trPr>
        <w:tc>
          <w:tcPr>
            <w:tcW w:w="6797" w:type="dxa"/>
            <w:tcBorders>
              <w:left w:val="single" w:sz="6" w:space="0" w:color="808080"/>
            </w:tcBorders>
          </w:tcPr>
          <w:p>
            <w:pPr>
              <w:pStyle w:val="TableParagraph"/>
              <w:rPr>
                <w:sz w:val="19"/>
              </w:rPr>
            </w:pPr>
            <w:r>
              <w:rPr>
                <w:color w:val="202020"/>
                <w:sz w:val="19"/>
              </w:rPr>
              <w:t>South Australia</w:t>
            </w:r>
          </w:p>
        </w:tc>
        <w:tc>
          <w:tcPr>
            <w:tcW w:w="5132" w:type="dxa"/>
          </w:tcPr>
          <w:p>
            <w:pPr>
              <w:pStyle w:val="TableParagraph"/>
              <w:rPr>
                <w:sz w:val="19"/>
              </w:rPr>
            </w:pPr>
            <w:r>
              <w:rPr>
                <w:color w:val="202020"/>
                <w:sz w:val="19"/>
              </w:rPr>
              <w:t>Bill Jennings</w:t>
            </w:r>
          </w:p>
        </w:tc>
        <w:tc>
          <w:tcPr>
            <w:tcW w:w="3656" w:type="dxa"/>
            <w:tcBorders>
              <w:right w:val="nil"/>
            </w:tcBorders>
          </w:tcPr>
          <w:p>
            <w:pPr>
              <w:pStyle w:val="TableParagraph"/>
              <w:rPr>
                <w:sz w:val="19"/>
              </w:rPr>
            </w:pPr>
            <w:r>
              <w:rPr>
                <w:color w:val="202020"/>
                <w:sz w:val="19"/>
              </w:rPr>
              <w:t>08 84479321</w:t>
            </w:r>
          </w:p>
        </w:tc>
      </w:tr>
      <w:tr>
        <w:trPr>
          <w:trHeight w:val="404" w:hRule="atLeast"/>
        </w:trPr>
        <w:tc>
          <w:tcPr>
            <w:tcW w:w="6797" w:type="dxa"/>
            <w:tcBorders>
              <w:left w:val="single" w:sz="6" w:space="0" w:color="808080"/>
            </w:tcBorders>
          </w:tcPr>
          <w:p>
            <w:pPr>
              <w:pStyle w:val="TableParagraph"/>
              <w:rPr>
                <w:sz w:val="19"/>
              </w:rPr>
            </w:pPr>
            <w:r>
              <w:rPr>
                <w:color w:val="202020"/>
                <w:sz w:val="19"/>
              </w:rPr>
              <w:t>Tasmania</w:t>
            </w:r>
          </w:p>
        </w:tc>
        <w:tc>
          <w:tcPr>
            <w:tcW w:w="5132" w:type="dxa"/>
          </w:tcPr>
          <w:p>
            <w:pPr>
              <w:pStyle w:val="TableParagraph"/>
              <w:rPr>
                <w:sz w:val="19"/>
              </w:rPr>
            </w:pPr>
            <w:r>
              <w:rPr>
                <w:color w:val="202020"/>
                <w:sz w:val="19"/>
              </w:rPr>
              <w:t>Chris Daly</w:t>
            </w:r>
          </w:p>
        </w:tc>
        <w:tc>
          <w:tcPr>
            <w:tcW w:w="3656" w:type="dxa"/>
            <w:tcBorders>
              <w:right w:val="nil"/>
            </w:tcBorders>
          </w:tcPr>
          <w:p>
            <w:pPr>
              <w:pStyle w:val="TableParagraph"/>
              <w:rPr>
                <w:sz w:val="19"/>
              </w:rPr>
            </w:pPr>
            <w:r>
              <w:rPr>
                <w:color w:val="202020"/>
                <w:sz w:val="19"/>
              </w:rPr>
              <w:t>03 62301280</w:t>
            </w:r>
          </w:p>
        </w:tc>
      </w:tr>
      <w:tr>
        <w:trPr>
          <w:trHeight w:val="404" w:hRule="atLeast"/>
        </w:trPr>
        <w:tc>
          <w:tcPr>
            <w:tcW w:w="6797" w:type="dxa"/>
            <w:tcBorders>
              <w:left w:val="single" w:sz="6" w:space="0" w:color="808080"/>
            </w:tcBorders>
          </w:tcPr>
          <w:p>
            <w:pPr>
              <w:pStyle w:val="TableParagraph"/>
              <w:rPr>
                <w:sz w:val="19"/>
              </w:rPr>
            </w:pPr>
            <w:r>
              <w:rPr>
                <w:color w:val="202020"/>
                <w:sz w:val="19"/>
              </w:rPr>
              <w:t>Northern Territory</w:t>
            </w:r>
          </w:p>
        </w:tc>
        <w:tc>
          <w:tcPr>
            <w:tcW w:w="5132" w:type="dxa"/>
          </w:tcPr>
          <w:p>
            <w:pPr>
              <w:pStyle w:val="TableParagraph"/>
              <w:rPr>
                <w:sz w:val="19"/>
              </w:rPr>
            </w:pPr>
            <w:r>
              <w:rPr>
                <w:color w:val="202020"/>
                <w:sz w:val="19"/>
              </w:rPr>
              <w:t>Denis Manski</w:t>
            </w:r>
          </w:p>
        </w:tc>
        <w:tc>
          <w:tcPr>
            <w:tcW w:w="3656" w:type="dxa"/>
            <w:tcBorders>
              <w:right w:val="nil"/>
            </w:tcBorders>
          </w:tcPr>
          <w:p>
            <w:pPr>
              <w:pStyle w:val="TableParagraph"/>
              <w:rPr>
                <w:sz w:val="19"/>
              </w:rPr>
            </w:pPr>
            <w:r>
              <w:rPr>
                <w:color w:val="202020"/>
                <w:sz w:val="19"/>
              </w:rPr>
              <w:t>08 89469860</w:t>
            </w:r>
          </w:p>
        </w:tc>
      </w:tr>
      <w:tr>
        <w:trPr>
          <w:trHeight w:val="404" w:hRule="atLeast"/>
        </w:trPr>
        <w:tc>
          <w:tcPr>
            <w:tcW w:w="6797" w:type="dxa"/>
            <w:tcBorders>
              <w:left w:val="single" w:sz="6" w:space="0" w:color="808080"/>
            </w:tcBorders>
          </w:tcPr>
          <w:p>
            <w:pPr>
              <w:pStyle w:val="TableParagraph"/>
              <w:rPr>
                <w:sz w:val="19"/>
              </w:rPr>
            </w:pPr>
            <w:r>
              <w:rPr>
                <w:color w:val="202020"/>
                <w:sz w:val="19"/>
              </w:rPr>
              <w:t>Australian Capital Territory</w:t>
            </w:r>
          </w:p>
        </w:tc>
        <w:tc>
          <w:tcPr>
            <w:tcW w:w="5132" w:type="dxa"/>
          </w:tcPr>
          <w:p>
            <w:pPr>
              <w:pStyle w:val="TableParagraph"/>
              <w:rPr>
                <w:sz w:val="19"/>
              </w:rPr>
            </w:pPr>
            <w:r>
              <w:rPr>
                <w:color w:val="202020"/>
                <w:sz w:val="19"/>
              </w:rPr>
              <w:t>Simeon Benedictos</w:t>
            </w:r>
          </w:p>
        </w:tc>
        <w:tc>
          <w:tcPr>
            <w:tcW w:w="3656" w:type="dxa"/>
            <w:tcBorders>
              <w:right w:val="nil"/>
            </w:tcBorders>
          </w:tcPr>
          <w:p>
            <w:pPr>
              <w:pStyle w:val="TableParagraph"/>
              <w:rPr>
                <w:sz w:val="19"/>
              </w:rPr>
            </w:pPr>
            <w:r>
              <w:rPr>
                <w:color w:val="202020"/>
                <w:sz w:val="19"/>
              </w:rPr>
              <w:t>06 2755957</w:t>
            </w:r>
          </w:p>
        </w:tc>
      </w:tr>
    </w:tbl>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2"/>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2020-12-09T22:57:29Z</dcterms:created>
  <dcterms:modified xsi:type="dcterms:W3CDTF">2020-12-09T22:57:29Z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