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44</w:t>
      </w:r>
    </w:p>
    <w:p>
      <w:pPr>
        <w:spacing w:before="357"/>
        <w:ind w:left="108" w:right="0" w:firstLine="0"/>
        <w:jc w:val="left"/>
        <w:rPr>
          <w:b/>
          <w:sz w:val="32"/>
        </w:rPr>
      </w:pPr>
      <w:r>
        <w:rPr>
          <w:b/>
          <w:color w:val="202020"/>
          <w:sz w:val="32"/>
        </w:rPr>
        <w:t>COST RECOVERY - IMPORT PROCESSING</w:t>
      </w:r>
    </w:p>
    <w:p>
      <w:pPr>
        <w:pStyle w:val="BodyText"/>
        <w:spacing w:line="237" w:lineRule="auto" w:before="256"/>
        <w:ind w:left="108" w:right="304"/>
      </w:pPr>
      <w:r>
        <w:rPr/>
        <w:t>In the August 1996 Budget, the Government announced that from 1 January 1997 the Australian Customs Service will apply cost recovery for commercial customs activities required to process imports. These arrangements will require the passage of appropriate legislation before recovery can be implemented.</w:t>
      </w:r>
    </w:p>
    <w:p>
      <w:pPr>
        <w:pStyle w:val="BodyText"/>
        <w:spacing w:before="4"/>
        <w:rPr>
          <w:sz w:val="16"/>
        </w:rPr>
      </w:pPr>
    </w:p>
    <w:p>
      <w:pPr>
        <w:pStyle w:val="BodyText"/>
        <w:ind w:left="108"/>
      </w:pPr>
      <w:r>
        <w:rPr/>
        <w:t>The services to be covered by the new charges are:</w:t>
      </w:r>
    </w:p>
    <w:p>
      <w:pPr>
        <w:pStyle w:val="BodyText"/>
        <w:spacing w:before="3"/>
        <w:rPr>
          <w:sz w:val="16"/>
        </w:rPr>
      </w:pPr>
    </w:p>
    <w:p>
      <w:pPr>
        <w:pStyle w:val="ListParagraph"/>
        <w:numPr>
          <w:ilvl w:val="0"/>
          <w:numId w:val="1"/>
        </w:numPr>
        <w:tabs>
          <w:tab w:pos="224" w:val="left" w:leader="none"/>
        </w:tabs>
        <w:spacing w:line="240" w:lineRule="auto" w:before="0" w:after="0"/>
        <w:ind w:left="223" w:right="0" w:hanging="116"/>
        <w:jc w:val="left"/>
        <w:rPr>
          <w:sz w:val="19"/>
        </w:rPr>
      </w:pPr>
      <w:r>
        <w:rPr>
          <w:sz w:val="19"/>
        </w:rPr>
        <w:t>cargo reporting (both sea and</w:t>
      </w:r>
      <w:r>
        <w:rPr>
          <w:spacing w:val="-6"/>
          <w:sz w:val="19"/>
        </w:rPr>
        <w:t> </w:t>
      </w:r>
      <w:r>
        <w:rPr>
          <w:sz w:val="19"/>
        </w:rPr>
        <w:t>air)</w:t>
      </w:r>
    </w:p>
    <w:p>
      <w:pPr>
        <w:pStyle w:val="BodyText"/>
        <w:spacing w:before="4"/>
        <w:rPr>
          <w:sz w:val="16"/>
        </w:rPr>
      </w:pPr>
    </w:p>
    <w:p>
      <w:pPr>
        <w:pStyle w:val="ListParagraph"/>
        <w:numPr>
          <w:ilvl w:val="0"/>
          <w:numId w:val="1"/>
        </w:numPr>
        <w:tabs>
          <w:tab w:pos="224" w:val="left" w:leader="none"/>
        </w:tabs>
        <w:spacing w:line="240" w:lineRule="auto" w:before="0" w:after="0"/>
        <w:ind w:left="223" w:right="0" w:hanging="116"/>
        <w:jc w:val="left"/>
        <w:rPr>
          <w:sz w:val="19"/>
        </w:rPr>
      </w:pPr>
      <w:r>
        <w:rPr>
          <w:sz w:val="19"/>
        </w:rPr>
        <w:t>import entry processing - sea, air and</w:t>
      </w:r>
      <w:r>
        <w:rPr>
          <w:spacing w:val="-8"/>
          <w:sz w:val="19"/>
        </w:rPr>
        <w:t> </w:t>
      </w:r>
      <w:r>
        <w:rPr>
          <w:sz w:val="19"/>
        </w:rPr>
        <w:t>post.</w:t>
      </w:r>
    </w:p>
    <w:p>
      <w:pPr>
        <w:pStyle w:val="BodyText"/>
        <w:spacing w:before="5"/>
        <w:rPr>
          <w:sz w:val="16"/>
        </w:rPr>
      </w:pPr>
    </w:p>
    <w:p>
      <w:pPr>
        <w:pStyle w:val="BodyText"/>
        <w:spacing w:line="237" w:lineRule="auto"/>
        <w:ind w:left="108" w:right="748"/>
      </w:pPr>
      <w:r>
        <w:rPr/>
        <w:t>The current Cargo Automation Processing Charge will be absorbed by the new charges. Charges will not apply to the processing of export transactions, nor will they cover activity associated with Customs community protection functions relating to the detection and interception of prohibited imports and drugs.</w:t>
      </w:r>
    </w:p>
    <w:p>
      <w:pPr>
        <w:pStyle w:val="BodyText"/>
        <w:spacing w:before="6"/>
        <w:rPr>
          <w:sz w:val="16"/>
        </w:rPr>
      </w:pPr>
    </w:p>
    <w:p>
      <w:pPr>
        <w:pStyle w:val="BodyText"/>
        <w:spacing w:line="237" w:lineRule="auto"/>
        <w:ind w:left="108" w:right="167"/>
      </w:pPr>
      <w:r>
        <w:rPr/>
        <w:t>Customs has undertaken a detailed activity based costing of its services to ensure that the costs recovered are clearly aligned to the costs calculated to process import transactions. The charges proposed are limited to the calculated costs of delivering the functions. Charges will be reviewed annually to ensure that they reflect any changes in the costing structure, including efficiencies.</w:t>
      </w:r>
    </w:p>
    <w:p>
      <w:pPr>
        <w:pStyle w:val="BodyText"/>
        <w:spacing w:before="5"/>
        <w:rPr>
          <w:sz w:val="16"/>
        </w:rPr>
      </w:pPr>
    </w:p>
    <w:p>
      <w:pPr>
        <w:pStyle w:val="BodyText"/>
        <w:spacing w:line="237" w:lineRule="auto" w:before="1"/>
        <w:ind w:left="108" w:right="188"/>
      </w:pPr>
      <w:r>
        <w:rPr/>
        <w:t>The proposed charges, detailed below, have been amended since first discussed at the Customs National Consultative Committee (CNCC) on Friday 23 August 1996. The amendments are revenue neutral, changing the structure of electronic entry charges, the line charges for manual entries and making the manual refund application fee a flat rate. Investigation of appropriate and efficient collection mechanisms continues. Additional ACN's will be released over the implementation phase outlining details of new administrative arrangements. It is also proposed that a series of industry briefing sessions will be held in regional capitals over the next few months.</w:t>
      </w:r>
    </w:p>
    <w:p>
      <w:pPr>
        <w:pStyle w:val="BodyText"/>
        <w:spacing w:before="4"/>
        <w:rPr>
          <w:sz w:val="16"/>
        </w:rPr>
      </w:pPr>
    </w:p>
    <w:p>
      <w:pPr>
        <w:pStyle w:val="BodyText"/>
        <w:ind w:left="108"/>
      </w:pPr>
      <w:r>
        <w:rPr>
          <w:u w:val="single"/>
        </w:rPr>
        <w:t>Proposed Fees</w:t>
      </w:r>
    </w:p>
    <w:p>
      <w:pPr>
        <w:pStyle w:val="BodyText"/>
        <w:spacing w:before="5" w:after="1"/>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438"/>
        <w:gridCol w:w="4085"/>
        <w:gridCol w:w="6060"/>
      </w:tblGrid>
      <w:tr>
        <w:trPr>
          <w:trHeight w:val="404" w:hRule="atLeast"/>
        </w:trPr>
        <w:tc>
          <w:tcPr>
            <w:tcW w:w="5438" w:type="dxa"/>
            <w:tcBorders>
              <w:left w:val="single" w:sz="6" w:space="0" w:color="808080"/>
            </w:tcBorders>
          </w:tcPr>
          <w:p>
            <w:pPr>
              <w:pStyle w:val="TableParagraph"/>
              <w:ind w:left="100"/>
              <w:rPr>
                <w:b/>
                <w:sz w:val="19"/>
              </w:rPr>
            </w:pPr>
            <w:r>
              <w:rPr>
                <w:b/>
                <w:color w:val="202020"/>
                <w:sz w:val="19"/>
              </w:rPr>
              <w:t>Item</w:t>
            </w:r>
          </w:p>
        </w:tc>
        <w:tc>
          <w:tcPr>
            <w:tcW w:w="4085" w:type="dxa"/>
          </w:tcPr>
          <w:p>
            <w:pPr>
              <w:pStyle w:val="TableParagraph"/>
              <w:rPr>
                <w:b/>
                <w:sz w:val="19"/>
              </w:rPr>
            </w:pPr>
            <w:r>
              <w:rPr>
                <w:b/>
                <w:color w:val="202020"/>
                <w:sz w:val="19"/>
              </w:rPr>
              <w:t>Charge</w:t>
            </w:r>
          </w:p>
        </w:tc>
        <w:tc>
          <w:tcPr>
            <w:tcW w:w="6060" w:type="dxa"/>
            <w:tcBorders>
              <w:right w:val="nil"/>
            </w:tcBorders>
          </w:tcPr>
          <w:p>
            <w:pPr>
              <w:pStyle w:val="TableParagraph"/>
              <w:rPr>
                <w:b/>
                <w:sz w:val="19"/>
              </w:rPr>
            </w:pPr>
            <w:r>
              <w:rPr>
                <w:b/>
                <w:color w:val="202020"/>
                <w:sz w:val="19"/>
              </w:rPr>
              <w:t>Levied Against</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Import Entry via sea (lodged electronically)</w:t>
            </w:r>
          </w:p>
        </w:tc>
        <w:tc>
          <w:tcPr>
            <w:tcW w:w="4085" w:type="dxa"/>
          </w:tcPr>
          <w:p>
            <w:pPr>
              <w:pStyle w:val="TableParagraph"/>
              <w:rPr>
                <w:sz w:val="19"/>
              </w:rPr>
            </w:pPr>
            <w:r>
              <w:rPr>
                <w:color w:val="202020"/>
                <w:sz w:val="19"/>
              </w:rPr>
              <w:t>$29.65 plus $0.20 per line after line 10</w:t>
            </w:r>
          </w:p>
        </w:tc>
        <w:tc>
          <w:tcPr>
            <w:tcW w:w="6060" w:type="dxa"/>
            <w:tcBorders>
              <w:right w:val="nil"/>
            </w:tcBorders>
          </w:tcPr>
          <w:p>
            <w:pPr>
              <w:pStyle w:val="TableParagraph"/>
              <w:rPr>
                <w:sz w:val="19"/>
              </w:rPr>
            </w:pPr>
            <w:r>
              <w:rPr>
                <w:color w:val="202020"/>
                <w:sz w:val="19"/>
              </w:rPr>
              <w:t>the importer, on entry into home consumption or into a warehouse</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Manual Import Entry via sea</w:t>
            </w:r>
          </w:p>
        </w:tc>
        <w:tc>
          <w:tcPr>
            <w:tcW w:w="4085" w:type="dxa"/>
          </w:tcPr>
          <w:p>
            <w:pPr>
              <w:pStyle w:val="TableParagraph"/>
              <w:rPr>
                <w:sz w:val="19"/>
              </w:rPr>
            </w:pPr>
            <w:r>
              <w:rPr>
                <w:color w:val="202020"/>
                <w:sz w:val="19"/>
              </w:rPr>
              <w:t>$51.40 plus $1.00 per line after the first line</w:t>
            </w:r>
          </w:p>
        </w:tc>
        <w:tc>
          <w:tcPr>
            <w:tcW w:w="6060" w:type="dxa"/>
            <w:tcBorders>
              <w:right w:val="nil"/>
            </w:tcBorders>
          </w:tcPr>
          <w:p>
            <w:pPr>
              <w:pStyle w:val="TableParagraph"/>
              <w:rPr>
                <w:sz w:val="19"/>
              </w:rPr>
            </w:pPr>
            <w:r>
              <w:rPr>
                <w:color w:val="202020"/>
                <w:sz w:val="19"/>
              </w:rPr>
              <w:t>the importer, on entry as above</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Import Entry via air or post (lodged electronically)</w:t>
            </w:r>
          </w:p>
        </w:tc>
        <w:tc>
          <w:tcPr>
            <w:tcW w:w="4085" w:type="dxa"/>
          </w:tcPr>
          <w:p>
            <w:pPr>
              <w:pStyle w:val="TableParagraph"/>
              <w:rPr>
                <w:sz w:val="19"/>
              </w:rPr>
            </w:pPr>
            <w:r>
              <w:rPr>
                <w:color w:val="202020"/>
                <w:sz w:val="19"/>
              </w:rPr>
              <w:t>$22.80 plus $0.20 per line after line 10</w:t>
            </w:r>
          </w:p>
        </w:tc>
        <w:tc>
          <w:tcPr>
            <w:tcW w:w="6060" w:type="dxa"/>
            <w:tcBorders>
              <w:right w:val="nil"/>
            </w:tcBorders>
          </w:tcPr>
          <w:p>
            <w:pPr>
              <w:pStyle w:val="TableParagraph"/>
              <w:rPr>
                <w:sz w:val="19"/>
              </w:rPr>
            </w:pPr>
            <w:r>
              <w:rPr>
                <w:color w:val="202020"/>
                <w:sz w:val="19"/>
              </w:rPr>
              <w:t>the importer, on entry as above</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Manual Import Entry charge via air or post</w:t>
            </w:r>
          </w:p>
        </w:tc>
        <w:tc>
          <w:tcPr>
            <w:tcW w:w="4085" w:type="dxa"/>
          </w:tcPr>
          <w:p>
            <w:pPr>
              <w:pStyle w:val="TableParagraph"/>
              <w:rPr>
                <w:sz w:val="19"/>
              </w:rPr>
            </w:pPr>
            <w:r>
              <w:rPr>
                <w:color w:val="202020"/>
                <w:sz w:val="19"/>
              </w:rPr>
              <w:t>$44.55 plus $1.00 per line after the first line</w:t>
            </w:r>
          </w:p>
        </w:tc>
        <w:tc>
          <w:tcPr>
            <w:tcW w:w="6060" w:type="dxa"/>
            <w:tcBorders>
              <w:right w:val="nil"/>
            </w:tcBorders>
          </w:tcPr>
          <w:p>
            <w:pPr>
              <w:pStyle w:val="TableParagraph"/>
              <w:rPr>
                <w:sz w:val="19"/>
              </w:rPr>
            </w:pPr>
            <w:r>
              <w:rPr>
                <w:color w:val="202020"/>
                <w:sz w:val="19"/>
              </w:rPr>
              <w:t>the importer, on entry as above</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Manual Reporting charge for sea cargo</w:t>
            </w:r>
          </w:p>
        </w:tc>
        <w:tc>
          <w:tcPr>
            <w:tcW w:w="4085" w:type="dxa"/>
          </w:tcPr>
          <w:p>
            <w:pPr>
              <w:pStyle w:val="TableParagraph"/>
              <w:rPr>
                <w:sz w:val="19"/>
              </w:rPr>
            </w:pPr>
            <w:r>
              <w:rPr>
                <w:color w:val="202020"/>
                <w:sz w:val="19"/>
              </w:rPr>
              <w:t>$2.60 per manifest line</w:t>
            </w:r>
          </w:p>
        </w:tc>
        <w:tc>
          <w:tcPr>
            <w:tcW w:w="6060" w:type="dxa"/>
            <w:tcBorders>
              <w:right w:val="nil"/>
            </w:tcBorders>
          </w:tcPr>
          <w:p>
            <w:pPr>
              <w:pStyle w:val="TableParagraph"/>
              <w:rPr>
                <w:sz w:val="19"/>
              </w:rPr>
            </w:pPr>
            <w:r>
              <w:rPr>
                <w:color w:val="202020"/>
                <w:sz w:val="19"/>
              </w:rPr>
              <w:t>the cargo handler, on reporting</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Manual Reporting charge for air cargo</w:t>
            </w:r>
          </w:p>
        </w:tc>
        <w:tc>
          <w:tcPr>
            <w:tcW w:w="4085" w:type="dxa"/>
          </w:tcPr>
          <w:p>
            <w:pPr>
              <w:pStyle w:val="TableParagraph"/>
              <w:rPr>
                <w:sz w:val="19"/>
              </w:rPr>
            </w:pPr>
            <w:r>
              <w:rPr>
                <w:color w:val="202020"/>
                <w:sz w:val="19"/>
              </w:rPr>
              <w:t>$3.00 per house airway bill</w:t>
            </w:r>
          </w:p>
        </w:tc>
        <w:tc>
          <w:tcPr>
            <w:tcW w:w="6060" w:type="dxa"/>
            <w:tcBorders>
              <w:right w:val="nil"/>
            </w:tcBorders>
          </w:tcPr>
          <w:p>
            <w:pPr>
              <w:pStyle w:val="TableParagraph"/>
              <w:rPr>
                <w:sz w:val="19"/>
              </w:rPr>
            </w:pPr>
            <w:r>
              <w:rPr>
                <w:color w:val="202020"/>
                <w:sz w:val="19"/>
              </w:rPr>
              <w:t>the cargo handler, on reporting</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'Screen Free' charge for air cargo requiring no import entry</w:t>
            </w:r>
          </w:p>
        </w:tc>
        <w:tc>
          <w:tcPr>
            <w:tcW w:w="4085" w:type="dxa"/>
          </w:tcPr>
          <w:p>
            <w:pPr>
              <w:pStyle w:val="TableParagraph"/>
              <w:rPr>
                <w:sz w:val="19"/>
              </w:rPr>
            </w:pPr>
            <w:r>
              <w:rPr>
                <w:color w:val="202020"/>
                <w:sz w:val="19"/>
              </w:rPr>
              <w:t>$2.40 per house airway bill</w:t>
            </w:r>
          </w:p>
        </w:tc>
        <w:tc>
          <w:tcPr>
            <w:tcW w:w="6060" w:type="dxa"/>
            <w:tcBorders>
              <w:right w:val="nil"/>
            </w:tcBorders>
          </w:tcPr>
          <w:p>
            <w:pPr>
              <w:pStyle w:val="TableParagraph"/>
              <w:rPr>
                <w:sz w:val="19"/>
              </w:rPr>
            </w:pPr>
            <w:r>
              <w:rPr>
                <w:color w:val="202020"/>
                <w:sz w:val="19"/>
              </w:rPr>
              <w:t>the cargo handler, on periodic settlement</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Import Entry ex-warehouse (lodged electronically)</w:t>
            </w:r>
          </w:p>
        </w:tc>
        <w:tc>
          <w:tcPr>
            <w:tcW w:w="4085" w:type="dxa"/>
          </w:tcPr>
          <w:p>
            <w:pPr>
              <w:pStyle w:val="TableParagraph"/>
              <w:rPr>
                <w:sz w:val="19"/>
              </w:rPr>
            </w:pPr>
            <w:r>
              <w:rPr>
                <w:color w:val="202020"/>
                <w:sz w:val="19"/>
              </w:rPr>
              <w:t>$5.00 plus $0.20 per line after line 10</w:t>
            </w:r>
          </w:p>
        </w:tc>
        <w:tc>
          <w:tcPr>
            <w:tcW w:w="6060" w:type="dxa"/>
            <w:tcBorders>
              <w:right w:val="nil"/>
            </w:tcBorders>
          </w:tcPr>
          <w:p>
            <w:pPr>
              <w:pStyle w:val="TableParagraph"/>
              <w:rPr>
                <w:sz w:val="19"/>
              </w:rPr>
            </w:pPr>
            <w:r>
              <w:rPr>
                <w:color w:val="202020"/>
                <w:sz w:val="19"/>
              </w:rPr>
              <w:t>the owner, on removal from a warehouse</w:t>
            </w:r>
          </w:p>
        </w:tc>
      </w:tr>
      <w:tr>
        <w:trPr>
          <w:trHeight w:val="404" w:hRule="atLeast"/>
        </w:trPr>
        <w:tc>
          <w:tcPr>
            <w:tcW w:w="5438" w:type="dxa"/>
            <w:tcBorders>
              <w:left w:val="single" w:sz="6" w:space="0" w:color="808080"/>
            </w:tcBorders>
          </w:tcPr>
          <w:p>
            <w:pPr>
              <w:pStyle w:val="TableParagraph"/>
              <w:ind w:left="100"/>
              <w:rPr>
                <w:sz w:val="19"/>
              </w:rPr>
            </w:pPr>
            <w:r>
              <w:rPr>
                <w:color w:val="202020"/>
                <w:sz w:val="19"/>
              </w:rPr>
              <w:t>Import Entry ex-warehouse (lodged manually)</w:t>
            </w:r>
          </w:p>
        </w:tc>
        <w:tc>
          <w:tcPr>
            <w:tcW w:w="4085" w:type="dxa"/>
          </w:tcPr>
          <w:p>
            <w:pPr>
              <w:pStyle w:val="TableParagraph"/>
              <w:rPr>
                <w:sz w:val="19"/>
              </w:rPr>
            </w:pPr>
            <w:r>
              <w:rPr>
                <w:color w:val="202020"/>
                <w:sz w:val="19"/>
              </w:rPr>
              <w:t>$26.75 plus $0.80 per line after the first line</w:t>
            </w:r>
          </w:p>
        </w:tc>
        <w:tc>
          <w:tcPr>
            <w:tcW w:w="6060" w:type="dxa"/>
            <w:tcBorders>
              <w:right w:val="nil"/>
            </w:tcBorders>
          </w:tcPr>
          <w:p>
            <w:pPr>
              <w:pStyle w:val="TableParagraph"/>
              <w:rPr>
                <w:sz w:val="19"/>
              </w:rPr>
            </w:pPr>
            <w:r>
              <w:rPr>
                <w:color w:val="202020"/>
                <w:sz w:val="19"/>
              </w:rPr>
              <w:t>the owner, on removal from a warehouse</w:t>
            </w:r>
          </w:p>
        </w:tc>
      </w:tr>
      <w:tr>
        <w:trPr>
          <w:trHeight w:val="166" w:hRule="atLeast"/>
        </w:trPr>
        <w:tc>
          <w:tcPr>
            <w:tcW w:w="5438" w:type="dxa"/>
            <w:tcBorders>
              <w:left w:val="single" w:sz="6" w:space="0" w:color="808080"/>
              <w:bottom w:val="nil"/>
            </w:tcBorders>
          </w:tcPr>
          <w:p>
            <w:pPr>
              <w:pStyle w:val="TableParagraph"/>
              <w:spacing w:before="0"/>
              <w:ind w:left="0"/>
              <w:rPr>
                <w:rFonts w:ascii="Times New Roman"/>
                <w:sz w:val="10"/>
              </w:rPr>
            </w:pPr>
          </w:p>
        </w:tc>
        <w:tc>
          <w:tcPr>
            <w:tcW w:w="4085" w:type="dxa"/>
            <w:tcBorders>
              <w:bottom w:val="nil"/>
            </w:tcBorders>
          </w:tcPr>
          <w:p>
            <w:pPr>
              <w:pStyle w:val="TableParagraph"/>
              <w:spacing w:before="0"/>
              <w:ind w:left="0"/>
              <w:rPr>
                <w:rFonts w:ascii="Times New Roman"/>
                <w:sz w:val="10"/>
              </w:rPr>
            </w:pPr>
          </w:p>
        </w:tc>
        <w:tc>
          <w:tcPr>
            <w:tcW w:w="6060" w:type="dxa"/>
            <w:tcBorders>
              <w:bottom w:val="nil"/>
              <w:right w:val="nil"/>
            </w:tcBorders>
          </w:tcPr>
          <w:p>
            <w:pPr>
              <w:pStyle w:val="TableParagraph"/>
              <w:spacing w:before="0"/>
              <w:ind w:left="0"/>
              <w:rPr>
                <w:rFonts w:ascii="Times New Roman"/>
                <w:sz w:val="10"/>
              </w:rPr>
            </w:pPr>
          </w:p>
        </w:tc>
      </w:tr>
    </w:tbl>
    <w:p>
      <w:pPr>
        <w:spacing w:after="0"/>
        <w:rPr>
          <w:rFonts w:ascii="Times New Roman"/>
          <w:sz w:val="10"/>
        </w:rPr>
        <w:sectPr>
          <w:type w:val="continuous"/>
          <w:pgSz w:w="16840" w:h="11900" w:orient="landscape"/>
          <w:pgMar w:top="6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5438"/>
        <w:gridCol w:w="4085"/>
        <w:gridCol w:w="6060"/>
      </w:tblGrid>
      <w:tr>
        <w:trPr>
          <w:trHeight w:val="743" w:hRule="atLeast"/>
        </w:trPr>
        <w:tc>
          <w:tcPr>
            <w:tcW w:w="5438" w:type="dxa"/>
            <w:tcBorders>
              <w:top w:val="nil"/>
              <w:bottom w:val="single" w:sz="6" w:space="0" w:color="C8C8C8"/>
              <w:right w:val="single" w:sz="6" w:space="0" w:color="C8C8C8"/>
            </w:tcBorders>
          </w:tcPr>
          <w:p>
            <w:pPr>
              <w:pStyle w:val="TableParagraph"/>
              <w:spacing w:line="209" w:lineRule="exact" w:before="0"/>
              <w:ind w:left="100"/>
              <w:rPr>
                <w:sz w:val="19"/>
              </w:rPr>
            </w:pPr>
            <w:r>
              <w:rPr>
                <w:color w:val="202020"/>
                <w:sz w:val="19"/>
              </w:rPr>
              <w:t>Licensing Fee for section 17(b) premises</w:t>
            </w:r>
          </w:p>
        </w:tc>
        <w:tc>
          <w:tcPr>
            <w:tcW w:w="4085" w:type="dxa"/>
            <w:tcBorders>
              <w:top w:val="nil"/>
              <w:left w:val="single" w:sz="6" w:space="0" w:color="C8C8C8"/>
              <w:bottom w:val="single" w:sz="6" w:space="0" w:color="C8C8C8"/>
              <w:right w:val="single" w:sz="6" w:space="0" w:color="C8C8C8"/>
            </w:tcBorders>
          </w:tcPr>
          <w:p>
            <w:pPr>
              <w:pStyle w:val="TableParagraph"/>
              <w:spacing w:line="208" w:lineRule="exact" w:before="0"/>
              <w:rPr>
                <w:sz w:val="19"/>
              </w:rPr>
            </w:pPr>
            <w:r>
              <w:rPr>
                <w:color w:val="202020"/>
                <w:sz w:val="19"/>
              </w:rPr>
              <w:t>$1000 for initial licence</w:t>
            </w:r>
          </w:p>
          <w:p>
            <w:pPr>
              <w:pStyle w:val="TableParagraph"/>
              <w:spacing w:line="216" w:lineRule="exact" w:before="0"/>
              <w:rPr>
                <w:sz w:val="19"/>
              </w:rPr>
            </w:pPr>
            <w:r>
              <w:rPr>
                <w:color w:val="202020"/>
                <w:sz w:val="19"/>
              </w:rPr>
              <w:t>$3000 per application</w:t>
            </w:r>
          </w:p>
          <w:p>
            <w:pPr>
              <w:pStyle w:val="TableParagraph"/>
              <w:spacing w:line="217" w:lineRule="exact" w:before="0"/>
              <w:rPr>
                <w:sz w:val="19"/>
              </w:rPr>
            </w:pPr>
            <w:r>
              <w:rPr>
                <w:color w:val="202020"/>
                <w:sz w:val="19"/>
              </w:rPr>
              <w:t>$4000 annual fee</w:t>
            </w:r>
          </w:p>
        </w:tc>
        <w:tc>
          <w:tcPr>
            <w:tcW w:w="6060" w:type="dxa"/>
            <w:tcBorders>
              <w:top w:val="nil"/>
              <w:left w:val="single" w:sz="6" w:space="0" w:color="C8C8C8"/>
              <w:bottom w:val="single" w:sz="6" w:space="0" w:color="C8C8C8"/>
              <w:right w:val="nil"/>
            </w:tcBorders>
          </w:tcPr>
          <w:p>
            <w:pPr>
              <w:pStyle w:val="TableParagraph"/>
              <w:spacing w:line="237" w:lineRule="auto" w:before="0"/>
              <w:ind w:right="3626"/>
              <w:rPr>
                <w:sz w:val="19"/>
              </w:rPr>
            </w:pPr>
            <w:r>
              <w:rPr>
                <w:color w:val="202020"/>
                <w:sz w:val="19"/>
              </w:rPr>
              <w:t>existing 17(b) operators new 17(b) operator</w:t>
            </w:r>
          </w:p>
          <w:p>
            <w:pPr>
              <w:pStyle w:val="TableParagraph"/>
              <w:spacing w:line="217" w:lineRule="exact" w:before="0"/>
              <w:rPr>
                <w:sz w:val="19"/>
              </w:rPr>
            </w:pPr>
            <w:r>
              <w:rPr>
                <w:color w:val="202020"/>
                <w:sz w:val="19"/>
              </w:rPr>
              <w:t>all operators</w:t>
            </w:r>
          </w:p>
        </w:tc>
      </w:tr>
      <w:tr>
        <w:trPr>
          <w:trHeight w:val="404" w:hRule="atLeast"/>
        </w:trPr>
        <w:tc>
          <w:tcPr>
            <w:tcW w:w="5438"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Refund Application Fee (lodged electronically)</w:t>
            </w:r>
          </w:p>
        </w:tc>
        <w:tc>
          <w:tcPr>
            <w:tcW w:w="408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$50.00 per application</w:t>
            </w:r>
          </w:p>
        </w:tc>
        <w:tc>
          <w:tcPr>
            <w:tcW w:w="6060" w:type="dxa"/>
            <w:tcBorders>
              <w:top w:val="single" w:sz="6" w:space="0" w:color="C8C8C8"/>
              <w:left w:val="single" w:sz="6" w:space="0" w:color="C8C8C8"/>
              <w:bottom w:val="single" w:sz="6" w:space="0" w:color="C8C8C8"/>
              <w:right w:val="nil"/>
            </w:tcBorders>
          </w:tcPr>
          <w:p>
            <w:pPr>
              <w:pStyle w:val="TableParagraph"/>
              <w:spacing w:before="85"/>
              <w:rPr>
                <w:sz w:val="19"/>
              </w:rPr>
            </w:pPr>
            <w:r>
              <w:rPr>
                <w:color w:val="202020"/>
                <w:sz w:val="19"/>
              </w:rPr>
              <w:t>the duty payer, on application</w:t>
            </w:r>
          </w:p>
        </w:tc>
      </w:tr>
      <w:tr>
        <w:trPr>
          <w:trHeight w:val="404" w:hRule="atLeast"/>
        </w:trPr>
        <w:tc>
          <w:tcPr>
            <w:tcW w:w="5438"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Refund Application Fee (lodged manually)</w:t>
            </w:r>
          </w:p>
        </w:tc>
        <w:tc>
          <w:tcPr>
            <w:tcW w:w="408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$75.00 per application</w:t>
            </w:r>
          </w:p>
        </w:tc>
        <w:tc>
          <w:tcPr>
            <w:tcW w:w="6060" w:type="dxa"/>
            <w:tcBorders>
              <w:top w:val="single" w:sz="6" w:space="0" w:color="C8C8C8"/>
              <w:left w:val="single" w:sz="6" w:space="0" w:color="C8C8C8"/>
              <w:bottom w:val="single" w:sz="6" w:space="0" w:color="C8C8C8"/>
              <w:right w:val="nil"/>
            </w:tcBorders>
          </w:tcPr>
          <w:p>
            <w:pPr>
              <w:pStyle w:val="TableParagraph"/>
              <w:spacing w:before="85"/>
              <w:rPr>
                <w:sz w:val="19"/>
              </w:rPr>
            </w:pPr>
            <w:r>
              <w:rPr>
                <w:color w:val="202020"/>
                <w:sz w:val="19"/>
              </w:rPr>
              <w:t>the duty payer, on application</w:t>
            </w:r>
          </w:p>
        </w:tc>
      </w:tr>
    </w:tbl>
    <w:p>
      <w:pPr>
        <w:pStyle w:val="BodyText"/>
        <w:spacing w:before="6"/>
        <w:rPr>
          <w:sz w:val="7"/>
        </w:rPr>
      </w:pPr>
    </w:p>
    <w:p>
      <w:pPr>
        <w:pStyle w:val="BodyText"/>
        <w:spacing w:line="446" w:lineRule="auto" w:before="93"/>
        <w:ind w:left="108" w:right="1898"/>
      </w:pPr>
      <w:r>
        <w:rPr/>
        <w:t>If you require any further information, please contact Ms Jenny Peachey, Project Leader, Cost Recovery Implementation Group on (06) 275 5963 or (03) 9244 8797. (M J Roche)</w:t>
      </w:r>
    </w:p>
    <w:p>
      <w:pPr>
        <w:pStyle w:val="BodyText"/>
        <w:spacing w:line="446" w:lineRule="auto"/>
        <w:ind w:left="108" w:right="12933"/>
      </w:pPr>
      <w:r>
        <w:rPr/>
        <w:t>Deputy Chief Executive Officer 10 September 1996</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3" w:hanging="116"/>
      </w:pPr>
      <w:rPr>
        <w:rFonts w:hint="default" w:ascii="Arial" w:hAnsi="Arial" w:eastAsia="Arial" w:cs="Arial"/>
        <w:w w:val="99"/>
        <w:sz w:val="19"/>
        <w:szCs w:val="19"/>
      </w:rPr>
    </w:lvl>
    <w:lvl w:ilvl="1">
      <w:start w:val="0"/>
      <w:numFmt w:val="bullet"/>
      <w:lvlText w:val="•"/>
      <w:lvlJc w:val="left"/>
      <w:pPr>
        <w:ind w:left="1780" w:hanging="116"/>
      </w:pPr>
      <w:rPr>
        <w:rFonts w:hint="default"/>
      </w:rPr>
    </w:lvl>
    <w:lvl w:ilvl="2">
      <w:start w:val="0"/>
      <w:numFmt w:val="bullet"/>
      <w:lvlText w:val="•"/>
      <w:lvlJc w:val="left"/>
      <w:pPr>
        <w:ind w:left="3340" w:hanging="116"/>
      </w:pPr>
      <w:rPr>
        <w:rFonts w:hint="default"/>
      </w:rPr>
    </w:lvl>
    <w:lvl w:ilvl="3">
      <w:start w:val="0"/>
      <w:numFmt w:val="bullet"/>
      <w:lvlText w:val="•"/>
      <w:lvlJc w:val="left"/>
      <w:pPr>
        <w:ind w:left="4900" w:hanging="116"/>
      </w:pPr>
      <w:rPr>
        <w:rFonts w:hint="default"/>
      </w:rPr>
    </w:lvl>
    <w:lvl w:ilvl="4">
      <w:start w:val="0"/>
      <w:numFmt w:val="bullet"/>
      <w:lvlText w:val="•"/>
      <w:lvlJc w:val="left"/>
      <w:pPr>
        <w:ind w:left="6460" w:hanging="116"/>
      </w:pPr>
      <w:rPr>
        <w:rFonts w:hint="default"/>
      </w:rPr>
    </w:lvl>
    <w:lvl w:ilvl="5">
      <w:start w:val="0"/>
      <w:numFmt w:val="bullet"/>
      <w:lvlText w:val="•"/>
      <w:lvlJc w:val="left"/>
      <w:pPr>
        <w:ind w:left="8020" w:hanging="116"/>
      </w:pPr>
      <w:rPr>
        <w:rFonts w:hint="default"/>
      </w:rPr>
    </w:lvl>
    <w:lvl w:ilvl="6">
      <w:start w:val="0"/>
      <w:numFmt w:val="bullet"/>
      <w:lvlText w:val="•"/>
      <w:lvlJc w:val="left"/>
      <w:pPr>
        <w:ind w:left="9580" w:hanging="116"/>
      </w:pPr>
      <w:rPr>
        <w:rFonts w:hint="default"/>
      </w:rPr>
    </w:lvl>
    <w:lvl w:ilvl="7">
      <w:start w:val="0"/>
      <w:numFmt w:val="bullet"/>
      <w:lvlText w:val="•"/>
      <w:lvlJc w:val="left"/>
      <w:pPr>
        <w:ind w:left="11140" w:hanging="116"/>
      </w:pPr>
      <w:rPr>
        <w:rFonts w:hint="default"/>
      </w:rPr>
    </w:lvl>
    <w:lvl w:ilvl="8">
      <w:start w:val="0"/>
      <w:numFmt w:val="bullet"/>
      <w:lvlText w:val="•"/>
      <w:lvlJc w:val="left"/>
      <w:pPr>
        <w:ind w:left="12700" w:hanging="11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223" w:hanging="116"/>
    </w:pPr>
    <w:rPr>
      <w:rFonts w:ascii="Arial" w:hAnsi="Arial" w:eastAsia="Arial" w:cs="Arial"/>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2020-12-09T22:34:48Z</dcterms:created>
  <dcterms:modified xsi:type="dcterms:W3CDTF">2020-12-09T22:34:48Z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