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w:t>
      </w:r>
      <w:r>
        <w:rPr>
          <w:color w:val="202020"/>
          <w:spacing w:val="42"/>
        </w:rPr>
        <w:t> </w:t>
      </w:r>
      <w:r>
        <w:rPr>
          <w:color w:val="202020"/>
        </w:rPr>
        <w:t>45</w:t>
      </w:r>
    </w:p>
    <w:p>
      <w:pPr>
        <w:spacing w:before="390"/>
        <w:ind w:left="100" w:right="0" w:firstLine="0"/>
        <w:jc w:val="left"/>
        <w:rPr>
          <w:b/>
          <w:sz w:val="36"/>
        </w:rPr>
      </w:pPr>
      <w:r>
        <w:rPr>
          <w:b/>
          <w:color w:val="202020"/>
          <w:sz w:val="36"/>
        </w:rPr>
        <w:t>SECTION 135 OF THE COPYRIGHT ACT 1968</w:t>
      </w:r>
    </w:p>
    <w:p>
      <w:pPr>
        <w:pStyle w:val="BodyText"/>
        <w:spacing w:before="282"/>
        <w:ind w:right="650"/>
      </w:pPr>
      <w:r>
        <w:rPr/>
        <w:t>The operation of the Customs seizure provisions of the Copyright Act 1968 ("Copyright Act") was outlined in Australian Customs Notice 95/31 of 15 June 1996.</w:t>
      </w:r>
    </w:p>
    <w:p>
      <w:pPr>
        <w:pStyle w:val="BodyText"/>
        <w:ind w:left="0"/>
        <w:rPr>
          <w:sz w:val="18"/>
        </w:rPr>
      </w:pPr>
    </w:p>
    <w:p>
      <w:pPr>
        <w:pStyle w:val="BodyText"/>
        <w:ind w:right="361"/>
        <w:jc w:val="both"/>
      </w:pPr>
      <w:r>
        <w:rPr/>
        <w:t>The following organisation, having declared itself to be the owner of the copyright material identified below, has given Notice under section 135 of the Copyright Act. By this action, the organisation has notified its objection to the importation of goods which allegedly infringes its copyright.</w:t>
      </w:r>
    </w:p>
    <w:p>
      <w:pPr>
        <w:pStyle w:val="BodyText"/>
        <w:spacing w:before="10"/>
        <w:ind w:left="0"/>
        <w:rPr>
          <w:sz w:val="17"/>
        </w:rPr>
      </w:pPr>
    </w:p>
    <w:p>
      <w:pPr>
        <w:pStyle w:val="BodyText"/>
        <w:ind w:right="706"/>
      </w:pPr>
      <w:r>
        <w:rPr/>
        <w:t>Unless revoked, this Notice shall remain in force until the end of the period of two years commencing on 17 September 1996.</w:t>
      </w:r>
    </w:p>
    <w:p>
      <w:pPr>
        <w:pStyle w:val="BodyText"/>
        <w:ind w:left="0"/>
        <w:rPr>
          <w:sz w:val="18"/>
        </w:rPr>
      </w:pPr>
    </w:p>
    <w:p>
      <w:pPr>
        <w:pStyle w:val="BodyText"/>
        <w:ind w:right="6870"/>
      </w:pPr>
      <w:r>
        <w:rPr>
          <w:b/>
          <w:u w:val="single"/>
        </w:rPr>
        <w:t>Objector</w:t>
      </w:r>
      <w:r>
        <w:rPr>
          <w:b/>
        </w:rPr>
        <w:t> </w:t>
      </w:r>
      <w:r>
        <w:rPr/>
        <w:t>Sydney Organising Committee of the Olympic Games ("SOCOG")</w:t>
      </w:r>
    </w:p>
    <w:p>
      <w:pPr>
        <w:pStyle w:val="BodyText"/>
        <w:ind w:left="0"/>
        <w:rPr>
          <w:sz w:val="18"/>
        </w:rPr>
      </w:pPr>
    </w:p>
    <w:p>
      <w:pPr>
        <w:pStyle w:val="BodyText"/>
        <w:ind w:right="7126"/>
      </w:pPr>
      <w:r>
        <w:rPr>
          <w:b/>
          <w:u w:val="single"/>
        </w:rPr>
        <w:t>Contact</w:t>
      </w:r>
      <w:r>
        <w:rPr>
          <w:b/>
        </w:rPr>
        <w:t> </w:t>
      </w:r>
      <w:r>
        <w:rPr/>
        <w:t>Sponsor Protection Manager Sydney (02) 9297 2000</w:t>
      </w:r>
    </w:p>
    <w:p>
      <w:pPr>
        <w:pStyle w:val="BodyText"/>
        <w:ind w:left="0"/>
        <w:rPr>
          <w:sz w:val="18"/>
        </w:rPr>
      </w:pPr>
    </w:p>
    <w:p>
      <w:pPr>
        <w:spacing w:before="0"/>
        <w:ind w:left="100" w:right="0" w:firstLine="0"/>
        <w:jc w:val="left"/>
        <w:rPr>
          <w:b/>
          <w:sz w:val="21"/>
        </w:rPr>
      </w:pPr>
      <w:r>
        <w:rPr>
          <w:b/>
          <w:sz w:val="21"/>
          <w:u w:val="single"/>
        </w:rPr>
        <w:t>Material</w:t>
      </w:r>
    </w:p>
    <w:p>
      <w:pPr>
        <w:pStyle w:val="BodyText"/>
        <w:spacing w:before="1"/>
        <w:ind w:left="0"/>
        <w:rPr>
          <w:b/>
          <w:sz w:val="18"/>
        </w:rPr>
      </w:pPr>
    </w:p>
    <w:p>
      <w:pPr>
        <w:spacing w:before="1"/>
        <w:ind w:left="100" w:right="0" w:firstLine="0"/>
        <w:jc w:val="both"/>
        <w:rPr>
          <w:b/>
          <w:sz w:val="21"/>
        </w:rPr>
      </w:pPr>
      <w:r>
        <w:rPr>
          <w:b/>
          <w:sz w:val="21"/>
        </w:rPr>
        <w:t>The "SOCOG" logo described as "3 boomerangs are person, Opera-house outline atop; all grotesque".</w:t>
      </w:r>
    </w:p>
    <w:p>
      <w:pPr>
        <w:pStyle w:val="BodyText"/>
        <w:spacing w:before="1"/>
        <w:ind w:left="0"/>
        <w:rPr>
          <w:b/>
          <w:sz w:val="18"/>
        </w:rPr>
      </w:pPr>
    </w:p>
    <w:p>
      <w:pPr>
        <w:pStyle w:val="BodyText"/>
      </w:pPr>
      <w:r>
        <w:rPr/>
        <w:t>Copies of the Notice have been forwarded to Managers, Trade Facilitation, Australian Customs Service, in the capital city of each state and the Northern Territory. Further information about the control regime may be obtained from those officers.</w:t>
      </w:r>
    </w:p>
    <w:p>
      <w:pPr>
        <w:pStyle w:val="BodyText"/>
        <w:spacing w:before="10"/>
        <w:ind w:left="0"/>
        <w:rPr>
          <w:sz w:val="17"/>
        </w:rPr>
      </w:pPr>
    </w:p>
    <w:p>
      <w:pPr>
        <w:pStyle w:val="BodyText"/>
        <w:ind w:right="99"/>
      </w:pPr>
      <w:r>
        <w:rPr/>
        <w:t>SOCOG has provided Customs with the details of importers who have been authorised to bring in a wide range of products bearing copyright material covered by the Notice. Persons requiring further details in this regard should contact the SOCOG Sponsor Protection Group on the number given above.</w:t>
      </w:r>
    </w:p>
    <w:p>
      <w:pPr>
        <w:pStyle w:val="BodyText"/>
        <w:spacing w:before="10"/>
        <w:ind w:left="0"/>
        <w:rPr>
          <w:sz w:val="17"/>
        </w:rPr>
      </w:pPr>
    </w:p>
    <w:p>
      <w:pPr>
        <w:pStyle w:val="BodyText"/>
        <w:ind w:right="238"/>
      </w:pPr>
      <w:r>
        <w:rPr/>
        <w:t>Goods identified by Customs at the border as potentially infringing copyright (being imports on which the logo described above has been used without authorisation) will be seized by Customs. Upon seizure of any goods by Customs, SOCOG may take court action under the Copyright Act against the person importing those goods.</w:t>
      </w:r>
    </w:p>
    <w:p>
      <w:pPr>
        <w:pStyle w:val="BodyText"/>
        <w:spacing w:before="10"/>
        <w:ind w:left="0"/>
        <w:rPr>
          <w:sz w:val="17"/>
        </w:rPr>
      </w:pPr>
    </w:p>
    <w:p>
      <w:pPr>
        <w:pStyle w:val="BodyText"/>
        <w:spacing w:line="241" w:lineRule="exact"/>
      </w:pPr>
      <w:r>
        <w:rPr/>
        <w:t>(J.M. Drury)</w:t>
      </w:r>
    </w:p>
    <w:p>
      <w:pPr>
        <w:pStyle w:val="BodyText"/>
        <w:spacing w:line="446" w:lineRule="auto"/>
        <w:ind w:right="7703"/>
      </w:pPr>
      <w:r>
        <w:rPr/>
        <w:t>Deputy Chief Executive Officer 8 October 1996</w:t>
      </w:r>
    </w:p>
    <w:p>
      <w:pPr>
        <w:pStyle w:val="BodyText"/>
        <w:spacing w:before="1"/>
      </w:pPr>
      <w:r>
        <w:rPr/>
        <w:t>(Cargo Facilitation : C96/02298)</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2020-12-09T22:32:48Z</dcterms:created>
  <dcterms:modified xsi:type="dcterms:W3CDTF">2020-12-09T22:32:48Z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