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51</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left="100" w:right="8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rPr>
          <w:sz w:val="17"/>
        </w:rPr>
      </w:pPr>
    </w:p>
    <w:p>
      <w:pPr>
        <w:pStyle w:val="BodyText"/>
        <w:ind w:left="100"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rPr>
          <w:sz w:val="17"/>
        </w:rPr>
      </w:pPr>
    </w:p>
    <w:p>
      <w:pPr>
        <w:pStyle w:val="BodyText"/>
        <w:ind w:left="393" w:right="141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rPr>
          <w:sz w:val="18"/>
        </w:rPr>
      </w:pPr>
    </w:p>
    <w:p>
      <w:pPr>
        <w:pStyle w:val="BodyText"/>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110"/>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5"/>
        <w:rPr>
          <w:sz w:val="17"/>
        </w:rPr>
      </w:pPr>
    </w:p>
    <w:p>
      <w:pPr>
        <w:pStyle w:val="BodyText"/>
        <w:spacing w:before="1"/>
        <w:ind w:left="100"/>
      </w:pPr>
      <w:r>
        <w:rPr/>
        <w:t>Copies of the relevant Notices of Objection have been forwarded to the Customs office in the capital city of each State and Territory.</w:t>
      </w:r>
    </w:p>
    <w:p>
      <w:pPr>
        <w:pStyle w:val="BodyText"/>
        <w:spacing w:before="11"/>
        <w:rPr>
          <w:sz w:val="17"/>
        </w:rPr>
      </w:pPr>
    </w:p>
    <w:p>
      <w:pPr>
        <w:pStyle w:val="BodyText"/>
        <w:ind w:left="100" w:right="293"/>
      </w:pPr>
      <w:r>
        <w:rPr/>
        <w:t>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10"/>
        <w:rPr>
          <w:sz w:val="17"/>
        </w:rPr>
      </w:pPr>
    </w:p>
    <w:p>
      <w:pPr>
        <w:pStyle w:val="BodyText"/>
        <w:spacing w:line="241" w:lineRule="exact"/>
        <w:ind w:left="100"/>
      </w:pPr>
      <w:r>
        <w:rPr/>
        <w:t>(R.J. MITCHELL)</w:t>
      </w:r>
    </w:p>
    <w:p>
      <w:pPr>
        <w:pStyle w:val="BodyText"/>
        <w:ind w:left="100" w:right="7478"/>
      </w:pPr>
      <w:r>
        <w:rPr/>
        <w:t>for CHIEF EXECUTIVE OFFICER CANBERRA ACT 2601</w:t>
      </w:r>
    </w:p>
    <w:p>
      <w:pPr>
        <w:pStyle w:val="BodyText"/>
        <w:spacing w:before="11"/>
        <w:rPr>
          <w:sz w:val="17"/>
        </w:rPr>
      </w:pPr>
    </w:p>
    <w:p>
      <w:pPr>
        <w:pStyle w:val="BodyText"/>
        <w:ind w:left="100"/>
      </w:pPr>
      <w:r>
        <w:rPr/>
        <w:t>2 December 1996</w:t>
      </w:r>
    </w:p>
    <w:p>
      <w:pPr>
        <w:pStyle w:val="BodyText"/>
        <w:spacing w:before="1"/>
        <w:rPr>
          <w:sz w:val="18"/>
        </w:rPr>
      </w:pPr>
    </w:p>
    <w:p>
      <w:pPr>
        <w:pStyle w:val="BodyText"/>
        <w:spacing w:before="1"/>
        <w:ind w:left="100"/>
      </w:pPr>
      <w:r>
        <w:rPr/>
        <w:t>(Cargo Facilitation : C96/08439; C96/08425, C96/12048; C96/12051)</w:t>
      </w:r>
    </w:p>
    <w:p>
      <w:pPr>
        <w:pStyle w:val="BodyText"/>
        <w:spacing w:before="3"/>
        <w:rPr>
          <w:sz w:val="26"/>
        </w:rPr>
      </w:pPr>
    </w:p>
    <w:p>
      <w:pPr>
        <w:pStyle w:val="Heading1"/>
      </w:pPr>
      <w:r>
        <w:rPr>
          <w:color w:val="202020"/>
        </w:rPr>
        <w:t>SCHEDULE TO ACN NO. 96/51</w:t>
      </w:r>
    </w:p>
    <w:p>
      <w:pPr>
        <w:pStyle w:val="BodyText"/>
        <w:spacing w:before="4"/>
        <w:rPr>
          <w:b/>
          <w:sz w:val="30"/>
        </w:rPr>
      </w:pPr>
    </w:p>
    <w:p>
      <w:pPr>
        <w:spacing w:before="0"/>
        <w:ind w:left="100" w:right="0" w:firstLine="0"/>
        <w:jc w:val="left"/>
        <w:rPr>
          <w:b/>
          <w:sz w:val="27"/>
        </w:rPr>
      </w:pPr>
      <w:r>
        <w:rPr>
          <w:b/>
          <w:color w:val="202020"/>
          <w:sz w:val="27"/>
        </w:rPr>
        <w:t>TRADE MARK NOTICES OF OBJECTION</w:t>
      </w:r>
    </w:p>
    <w:p>
      <w:pPr>
        <w:spacing w:line="446" w:lineRule="auto" w:before="256"/>
        <w:ind w:left="100" w:right="5342" w:firstLine="0"/>
        <w:jc w:val="left"/>
        <w:rPr>
          <w:b/>
          <w:sz w:val="21"/>
        </w:rPr>
      </w:pPr>
      <w:r>
        <w:rPr>
          <w:b/>
          <w:sz w:val="21"/>
        </w:rPr>
        <w:t>Puma Australia Pty Ltd Contact : Company Secretary (03) 555 6655</w:t>
      </w:r>
    </w:p>
    <w:p>
      <w:pPr>
        <w:spacing w:after="0" w:line="446" w:lineRule="auto"/>
        <w:jc w:val="left"/>
        <w:rPr>
          <w:sz w:val="21"/>
        </w:rPr>
        <w:sectPr>
          <w:type w:val="continuous"/>
          <w:pgSz w:w="11900" w:h="16840"/>
          <w:pgMar w:top="700" w:bottom="280" w:left="600" w:right="540"/>
        </w:sectPr>
      </w:pPr>
    </w:p>
    <w:p>
      <w:pPr>
        <w:pStyle w:val="Heading1"/>
        <w:spacing w:before="71"/>
      </w:pPr>
      <w:r>
        <w:rPr>
          <w:color w:val="202020"/>
        </w:rPr>
        <w:t>Trade Marks</w:t>
      </w:r>
    </w:p>
    <w:p>
      <w:pPr>
        <w:spacing w:before="256"/>
        <w:ind w:left="100" w:right="0" w:firstLine="0"/>
        <w:jc w:val="left"/>
        <w:rPr>
          <w:b/>
          <w:sz w:val="21"/>
        </w:rPr>
      </w:pPr>
      <w:r>
        <w:rPr>
          <w:b/>
          <w:sz w:val="21"/>
        </w:rPr>
        <w:t>PUMA; PUMA (Club); PUMA (Jumping Puma), PUMA (Formstripe); PUMA (Trinomic); PUMA (Disc); PUMA (Turn It On); PUMA (Impact); PUMA (Street</w:t>
      </w:r>
    </w:p>
    <w:p>
      <w:pPr>
        <w:pStyle w:val="BodyText"/>
        <w:rPr>
          <w:b/>
          <w:sz w:val="18"/>
        </w:rPr>
      </w:pPr>
    </w:p>
    <w:p>
      <w:pPr>
        <w:spacing w:before="0"/>
        <w:ind w:left="100" w:right="0" w:firstLine="0"/>
        <w:jc w:val="left"/>
        <w:rPr>
          <w:b/>
          <w:sz w:val="21"/>
        </w:rPr>
      </w:pPr>
      <w:r>
        <w:rPr>
          <w:b/>
          <w:sz w:val="21"/>
        </w:rPr>
        <w:t>Soccer)</w:t>
      </w:r>
    </w:p>
    <w:p>
      <w:pPr>
        <w:pStyle w:val="BodyText"/>
        <w:spacing w:before="3"/>
        <w:rPr>
          <w:b/>
          <w:sz w:val="26"/>
        </w:rPr>
      </w:pPr>
    </w:p>
    <w:p>
      <w:pPr>
        <w:pStyle w:val="Heading1"/>
        <w:spacing w:before="1"/>
      </w:pPr>
      <w:r>
        <w:rPr>
          <w:color w:val="202020"/>
        </w:rPr>
        <w:t>Goods</w:t>
      </w:r>
    </w:p>
    <w:p>
      <w:pPr>
        <w:pStyle w:val="BodyText"/>
        <w:spacing w:before="255"/>
        <w:ind w:left="100" w:right="298"/>
      </w:pPr>
      <w:r>
        <w:rPr>
          <w:rFonts w:ascii="Arial-BoldItalicMT"/>
          <w:b/>
          <w:i/>
        </w:rPr>
        <w:t>Class 25 </w:t>
      </w:r>
      <w:r>
        <w:rPr>
          <w:i/>
        </w:rPr>
        <w:t>: </w:t>
      </w:r>
      <w:r>
        <w:rPr/>
        <w:t>All goods in this class including footwear - namely sports shoes; tennis shoes and health (corrective) shoes; clothing and footwear for sports, athletic and leisure purposes, including training suits, leisure suits, training sweaters, jerseys, shorts and hoses, all-weather suits, tennis and ski sportswear, gloves in this class, caps and headbands, bathing drawers and bath costumes; boots, shoes and slippers but excluding hosiery and any goods made from or resembling puma skin.</w:t>
      </w:r>
    </w:p>
    <w:p>
      <w:pPr>
        <w:pStyle w:val="BodyText"/>
        <w:spacing w:before="7"/>
        <w:rPr>
          <w:sz w:val="17"/>
        </w:rPr>
      </w:pPr>
    </w:p>
    <w:p>
      <w:pPr>
        <w:pStyle w:val="BodyText"/>
        <w:ind w:left="100" w:right="181"/>
      </w:pPr>
      <w:r>
        <w:rPr>
          <w:rFonts w:ascii="Arial-BoldItalicMT"/>
          <w:b/>
          <w:i/>
        </w:rPr>
        <w:t>Class 18 </w:t>
      </w:r>
      <w:r>
        <w:rPr/>
        <w:t>: All goods in this class including articles made of leather or imitations thereof not included in other classes; trunks and travelling bags and carrying bags and cases, especially for sports equipment and sportswear but excluding any goods made from or resembling puma skin.</w:t>
      </w:r>
    </w:p>
    <w:p>
      <w:pPr>
        <w:pStyle w:val="BodyText"/>
        <w:spacing w:before="10"/>
        <w:rPr>
          <w:sz w:val="17"/>
        </w:rPr>
      </w:pPr>
    </w:p>
    <w:p>
      <w:pPr>
        <w:pStyle w:val="BodyText"/>
        <w:spacing w:before="1"/>
        <w:ind w:left="100" w:right="484"/>
      </w:pPr>
      <w:r>
        <w:rPr>
          <w:rFonts w:ascii="Arial-BoldItalicMT"/>
          <w:b/>
          <w:i/>
        </w:rPr>
        <w:t>Class 28 </w:t>
      </w:r>
      <w:r>
        <w:rPr/>
        <w:t>: All goods in this class including games and playthings, gymnastic, sporting and exercise machines and devices, and sports balls.</w:t>
      </w:r>
    </w:p>
    <w:p>
      <w:pPr>
        <w:pStyle w:val="BodyText"/>
        <w:spacing w:before="11"/>
        <w:rPr>
          <w:sz w:val="17"/>
        </w:rPr>
      </w:pPr>
    </w:p>
    <w:p>
      <w:pPr>
        <w:spacing w:line="446" w:lineRule="auto" w:before="0"/>
        <w:ind w:left="100" w:right="4420" w:firstLine="0"/>
        <w:jc w:val="left"/>
        <w:rPr>
          <w:b/>
          <w:sz w:val="21"/>
        </w:rPr>
      </w:pPr>
      <w:r>
        <w:rPr>
          <w:sz w:val="21"/>
        </w:rPr>
        <w:t>Effective Date : 25 September 1996 Canberra File : C96/08439 </w:t>
      </w:r>
      <w:r>
        <w:rPr>
          <w:b/>
          <w:sz w:val="21"/>
        </w:rPr>
        <w:t>Pacific Dunlop Limited Contact : Freehill Hollingdale and Page (03) 9288 1234</w:t>
      </w:r>
    </w:p>
    <w:p>
      <w:pPr>
        <w:pStyle w:val="Heading1"/>
        <w:spacing w:before="96"/>
      </w:pPr>
      <w:r>
        <w:rPr>
          <w:color w:val="202020"/>
        </w:rPr>
        <w:t>Trade Marks</w:t>
      </w:r>
    </w:p>
    <w:p>
      <w:pPr>
        <w:spacing w:line="446" w:lineRule="auto" w:before="256"/>
        <w:ind w:left="100" w:right="3743" w:firstLine="0"/>
        <w:jc w:val="left"/>
        <w:rPr>
          <w:b/>
          <w:sz w:val="21"/>
        </w:rPr>
      </w:pPr>
      <w:r>
        <w:rPr>
          <w:b/>
          <w:sz w:val="21"/>
        </w:rPr>
        <w:t>B51; DUNLOP; Flying D Device; MAX FLI; Panther Device; Slazenger; OLYMPIC; REMINGTON; VOLLEY; KT WALKER DIAMOND; Gem DIAMOND Device; MARSHALL; POWERSAFE</w:t>
      </w:r>
    </w:p>
    <w:p>
      <w:pPr>
        <w:pStyle w:val="Heading1"/>
        <w:spacing w:before="96"/>
      </w:pPr>
      <w:r>
        <w:rPr>
          <w:color w:val="202020"/>
        </w:rPr>
        <w:t>Goods</w:t>
      </w:r>
    </w:p>
    <w:p>
      <w:pPr>
        <w:pStyle w:val="BodyText"/>
        <w:spacing w:before="256"/>
        <w:ind w:left="100" w:right="204"/>
      </w:pPr>
      <w:r>
        <w:rPr>
          <w:rFonts w:ascii="Arial-BoldItalicMT"/>
          <w:b/>
          <w:i/>
        </w:rPr>
        <w:t>Class 9 </w:t>
      </w:r>
      <w:r>
        <w:rPr>
          <w:i/>
        </w:rPr>
        <w:t>: </w:t>
      </w:r>
      <w:r>
        <w:rPr/>
        <w:t>Electric storage batteries and parts thereof; Batteries and fuel cells, including batteries for vehicles and traction batteries, and parts thereof and equipment for use therewith, including container for electrolyte, charging apparatus, and testing equipment; Lead acid batteries including sealed lead acid batteries, recombination standby power batteries; all being goods included in this class.</w:t>
      </w:r>
    </w:p>
    <w:p>
      <w:pPr>
        <w:pStyle w:val="BodyText"/>
        <w:spacing w:before="9"/>
        <w:rPr>
          <w:sz w:val="17"/>
        </w:rPr>
      </w:pPr>
    </w:p>
    <w:p>
      <w:pPr>
        <w:pStyle w:val="BodyText"/>
        <w:ind w:left="100"/>
      </w:pPr>
      <w:r>
        <w:rPr/>
        <w:t>2.</w:t>
      </w:r>
    </w:p>
    <w:p>
      <w:pPr>
        <w:pStyle w:val="BodyText"/>
        <w:spacing w:before="3"/>
        <w:rPr>
          <w:sz w:val="26"/>
        </w:rPr>
      </w:pPr>
    </w:p>
    <w:p>
      <w:pPr>
        <w:pStyle w:val="Heading1"/>
      </w:pPr>
      <w:r>
        <w:rPr>
          <w:color w:val="202020"/>
        </w:rPr>
        <w:t>Goods (cont.)</w:t>
      </w:r>
    </w:p>
    <w:p>
      <w:pPr>
        <w:pStyle w:val="BodyText"/>
        <w:spacing w:before="256"/>
        <w:ind w:left="100" w:right="169"/>
      </w:pPr>
      <w:r>
        <w:rPr>
          <w:rFonts w:ascii="Arial-BoldItalicMT"/>
          <w:b/>
          <w:i/>
        </w:rPr>
        <w:t>Class 12 </w:t>
      </w:r>
      <w:r>
        <w:rPr/>
        <w:t>: All goods in this class including apparatus and equipment as parts of aircraft or air cushion vehicles and for land vehicles; air pumps for vehicles; tyres including used tyres; tubes and parts and fittings therefore; wheels, hubs and axles and undercarriages suspension and shock-absorbing systems, brake systems and brake control equipment, assemblies and seats all for land vehicles and aircraft; transmission belts and drive belts for engines; brake linings, segments and shoes for land vehicles; hydraulic systems for aircraft and other vehicles; bicycles and parts and fittings therefore, treads for retreading tyres, inflatable rafts and boats; pontoons; automotive vehicles; Life rafts; safety belts included in this class; all rubber and plastic goods included in this class; and parts or accessories used in connection with these goods, excluding accessories for motor cycles.</w:t>
      </w:r>
    </w:p>
    <w:p>
      <w:pPr>
        <w:pStyle w:val="BodyText"/>
        <w:spacing w:before="2"/>
        <w:rPr>
          <w:sz w:val="17"/>
        </w:rPr>
      </w:pPr>
    </w:p>
    <w:p>
      <w:pPr>
        <w:pStyle w:val="BodyText"/>
        <w:spacing w:before="1"/>
        <w:ind w:left="100" w:right="204"/>
      </w:pPr>
      <w:r>
        <w:rPr>
          <w:rFonts w:ascii="Arial-BoldItalicMT"/>
          <w:b/>
          <w:i/>
        </w:rPr>
        <w:t>Class 17 </w:t>
      </w:r>
      <w:r>
        <w:rPr/>
        <w:t>: All goods in this class including hose and packing; all goods made from India rubber; non-metallic hoses, pipes, tubes, conduits and ducts with or without metallic or other reinforcement, parts and accessories for use with any of the referred to goods including connectors, joint packings and fittings.</w:t>
      </w:r>
    </w:p>
    <w:p>
      <w:pPr>
        <w:pStyle w:val="BodyText"/>
        <w:spacing w:before="10"/>
        <w:rPr>
          <w:sz w:val="17"/>
        </w:rPr>
      </w:pPr>
    </w:p>
    <w:p>
      <w:pPr>
        <w:spacing w:before="0"/>
        <w:ind w:left="100" w:right="0" w:firstLine="0"/>
        <w:jc w:val="left"/>
        <w:rPr>
          <w:sz w:val="21"/>
        </w:rPr>
      </w:pPr>
      <w:r>
        <w:rPr>
          <w:rFonts w:ascii="Arial-BoldItalicMT"/>
          <w:b/>
          <w:i/>
          <w:sz w:val="21"/>
        </w:rPr>
        <w:t>Class 22 </w:t>
      </w:r>
      <w:r>
        <w:rPr>
          <w:sz w:val="21"/>
        </w:rPr>
        <w:t>: Packing included in this class.</w:t>
      </w:r>
    </w:p>
    <w:p>
      <w:pPr>
        <w:pStyle w:val="BodyText"/>
        <w:spacing w:before="1"/>
        <w:rPr>
          <w:sz w:val="18"/>
        </w:rPr>
      </w:pPr>
    </w:p>
    <w:p>
      <w:pPr>
        <w:pStyle w:val="BodyText"/>
        <w:ind w:left="100" w:right="259"/>
      </w:pPr>
      <w:r>
        <w:rPr>
          <w:rFonts w:ascii="Arial-BoldItalicMT"/>
          <w:b/>
          <w:i/>
        </w:rPr>
        <w:t>Class 25 </w:t>
      </w:r>
      <w:r>
        <w:rPr/>
        <w:t>: All goods in this class including India rubber and waterproof articles of clothing; footwear, raincoats, golf jackets, men's trousers, boots and shoes and all other articles of clothing.</w:t>
      </w:r>
    </w:p>
    <w:p>
      <w:pPr>
        <w:spacing w:after="0"/>
        <w:sectPr>
          <w:pgSz w:w="11900" w:h="16840"/>
          <w:pgMar w:top="540" w:bottom="280" w:left="600" w:right="540"/>
        </w:sectPr>
      </w:pPr>
    </w:p>
    <w:p>
      <w:pPr>
        <w:pStyle w:val="BodyText"/>
        <w:spacing w:before="78"/>
        <w:ind w:left="100" w:right="227"/>
      </w:pPr>
      <w:r>
        <w:rPr>
          <w:rFonts w:ascii="Arial-BoldItalicMT"/>
          <w:b/>
          <w:i/>
        </w:rPr>
        <w:t>Class 28 </w:t>
      </w:r>
      <w:r>
        <w:rPr/>
        <w:t>: Golf clubs and golf balls and all other golf articles included in this class; sporting articles; games of all kinds.</w:t>
      </w:r>
    </w:p>
    <w:p>
      <w:pPr>
        <w:pStyle w:val="BodyText"/>
        <w:rPr>
          <w:sz w:val="18"/>
        </w:rPr>
      </w:pPr>
    </w:p>
    <w:p>
      <w:pPr>
        <w:pStyle w:val="BodyText"/>
        <w:ind w:left="100"/>
      </w:pPr>
      <w:r>
        <w:rPr/>
        <w:t>Effective Date : 29 October 1996 Canberra File : C96/08425</w:t>
      </w:r>
    </w:p>
    <w:p>
      <w:pPr>
        <w:pStyle w:val="BodyText"/>
        <w:spacing w:before="1"/>
        <w:rPr>
          <w:sz w:val="18"/>
        </w:rPr>
      </w:pPr>
    </w:p>
    <w:p>
      <w:pPr>
        <w:spacing w:before="0"/>
        <w:ind w:left="100" w:right="0" w:firstLine="0"/>
        <w:jc w:val="left"/>
        <w:rPr>
          <w:b/>
          <w:sz w:val="21"/>
        </w:rPr>
      </w:pPr>
      <w:r>
        <w:rPr>
          <w:b/>
          <w:sz w:val="21"/>
        </w:rPr>
        <w:t>The Benson &amp; Hedges Co. Pty Ltd Contact : Shelston Waters</w:t>
      </w:r>
    </w:p>
    <w:p>
      <w:pPr>
        <w:pStyle w:val="BodyText"/>
        <w:spacing w:before="3"/>
        <w:rPr>
          <w:b/>
          <w:sz w:val="26"/>
        </w:rPr>
      </w:pPr>
    </w:p>
    <w:p>
      <w:pPr>
        <w:pStyle w:val="Heading1"/>
        <w:spacing w:before="1"/>
      </w:pPr>
      <w:r>
        <w:rPr>
          <w:color w:val="202020"/>
        </w:rPr>
        <w:t>Patent and Trade Mark Attorneys</w:t>
      </w:r>
    </w:p>
    <w:p>
      <w:pPr>
        <w:spacing w:before="255"/>
        <w:ind w:left="100" w:right="0" w:firstLine="0"/>
        <w:jc w:val="left"/>
        <w:rPr>
          <w:b/>
          <w:sz w:val="21"/>
        </w:rPr>
      </w:pPr>
      <w:r>
        <w:rPr>
          <w:b/>
          <w:sz w:val="21"/>
        </w:rPr>
        <w:t>(02) 9777 1111</w:t>
      </w:r>
    </w:p>
    <w:p>
      <w:pPr>
        <w:pStyle w:val="BodyText"/>
        <w:spacing w:before="3"/>
        <w:rPr>
          <w:b/>
          <w:sz w:val="26"/>
        </w:rPr>
      </w:pPr>
    </w:p>
    <w:p>
      <w:pPr>
        <w:pStyle w:val="Heading1"/>
        <w:spacing w:before="1"/>
      </w:pPr>
      <w:r>
        <w:rPr>
          <w:color w:val="202020"/>
        </w:rPr>
        <w:t>Trade Marks</w:t>
      </w:r>
    </w:p>
    <w:p>
      <w:pPr>
        <w:pStyle w:val="BodyText"/>
        <w:spacing w:before="4"/>
        <w:rPr>
          <w:b/>
          <w:sz w:val="30"/>
        </w:rPr>
      </w:pPr>
    </w:p>
    <w:p>
      <w:pPr>
        <w:spacing w:before="0"/>
        <w:ind w:left="100" w:right="0" w:firstLine="0"/>
        <w:jc w:val="left"/>
        <w:rPr>
          <w:b/>
          <w:sz w:val="27"/>
        </w:rPr>
      </w:pPr>
      <w:r>
        <w:rPr>
          <w:b/>
          <w:color w:val="202020"/>
          <w:sz w:val="27"/>
        </w:rPr>
        <w:t>BENSON &amp; HEDGES; BENSON AND HEDGES LABEL</w:t>
      </w:r>
    </w:p>
    <w:p>
      <w:pPr>
        <w:pStyle w:val="BodyText"/>
        <w:spacing w:before="5"/>
        <w:rPr>
          <w:b/>
          <w:sz w:val="30"/>
        </w:rPr>
      </w:pPr>
    </w:p>
    <w:p>
      <w:pPr>
        <w:pStyle w:val="Heading1"/>
      </w:pPr>
      <w:r>
        <w:rPr>
          <w:color w:val="202020"/>
        </w:rPr>
        <w:t>Goods</w:t>
      </w:r>
    </w:p>
    <w:p>
      <w:pPr>
        <w:pStyle w:val="BodyText"/>
        <w:spacing w:line="446" w:lineRule="auto" w:before="256"/>
        <w:ind w:left="100" w:right="3340"/>
      </w:pPr>
      <w:r>
        <w:rPr>
          <w:rFonts w:ascii="Arial-BoldItalicMT"/>
          <w:b/>
          <w:i/>
        </w:rPr>
        <w:t>Class 34</w:t>
      </w:r>
      <w:r>
        <w:rPr>
          <w:b/>
        </w:rPr>
        <w:t>: </w:t>
      </w:r>
      <w:r>
        <w:rPr/>
        <w:t>Cigarettes, cigars and smoking tobacco, smokers' articles; matches. Effective Date : 1 November 1996 Canberra File : C96/12048</w:t>
      </w:r>
    </w:p>
    <w:p>
      <w:pPr>
        <w:spacing w:before="1"/>
        <w:ind w:left="100" w:right="0" w:firstLine="0"/>
        <w:jc w:val="left"/>
        <w:rPr>
          <w:b/>
          <w:sz w:val="21"/>
        </w:rPr>
      </w:pPr>
      <w:r>
        <w:rPr>
          <w:b/>
          <w:sz w:val="21"/>
        </w:rPr>
        <w:t>3.</w:t>
      </w:r>
    </w:p>
    <w:p>
      <w:pPr>
        <w:pStyle w:val="BodyText"/>
        <w:spacing w:before="2"/>
        <w:rPr>
          <w:b/>
          <w:sz w:val="18"/>
        </w:rPr>
      </w:pPr>
    </w:p>
    <w:p>
      <w:pPr>
        <w:spacing w:before="0"/>
        <w:ind w:left="100" w:right="0" w:firstLine="0"/>
        <w:jc w:val="left"/>
        <w:rPr>
          <w:b/>
          <w:sz w:val="21"/>
        </w:rPr>
      </w:pPr>
      <w:r>
        <w:rPr>
          <w:b/>
          <w:sz w:val="21"/>
        </w:rPr>
        <w:t>W.D. &amp; H.O. Wills (Australia) Contact : Shelston Waters</w:t>
      </w:r>
    </w:p>
    <w:p>
      <w:pPr>
        <w:pStyle w:val="BodyText"/>
        <w:spacing w:before="3"/>
        <w:rPr>
          <w:b/>
          <w:sz w:val="26"/>
        </w:rPr>
      </w:pPr>
    </w:p>
    <w:p>
      <w:pPr>
        <w:pStyle w:val="Heading1"/>
      </w:pPr>
      <w:r>
        <w:rPr>
          <w:color w:val="202020"/>
        </w:rPr>
        <w:t>Patent and Trade Mark Attorneys</w:t>
      </w:r>
    </w:p>
    <w:p>
      <w:pPr>
        <w:spacing w:before="256"/>
        <w:ind w:left="100" w:right="0" w:firstLine="0"/>
        <w:jc w:val="left"/>
        <w:rPr>
          <w:b/>
          <w:sz w:val="21"/>
        </w:rPr>
      </w:pPr>
      <w:r>
        <w:rPr>
          <w:b/>
          <w:sz w:val="21"/>
        </w:rPr>
        <w:t>(02) 9777 1111</w:t>
      </w:r>
    </w:p>
    <w:p>
      <w:pPr>
        <w:pStyle w:val="BodyText"/>
        <w:spacing w:before="3"/>
        <w:rPr>
          <w:b/>
          <w:sz w:val="26"/>
        </w:rPr>
      </w:pPr>
    </w:p>
    <w:p>
      <w:pPr>
        <w:pStyle w:val="Heading1"/>
      </w:pPr>
      <w:r>
        <w:rPr>
          <w:color w:val="202020"/>
        </w:rPr>
        <w:t>Trade Marks</w:t>
      </w:r>
    </w:p>
    <w:p>
      <w:pPr>
        <w:spacing w:before="256"/>
        <w:ind w:left="100" w:right="0" w:firstLine="0"/>
        <w:jc w:val="left"/>
        <w:rPr>
          <w:b/>
          <w:sz w:val="21"/>
        </w:rPr>
      </w:pPr>
      <w:r>
        <w:rPr>
          <w:b/>
          <w:sz w:val="21"/>
        </w:rPr>
        <w:t>STATE EXPRESS; STATE EXPRESS 555 LABEL; HORIZON; HORIZON LABEL</w:t>
      </w:r>
    </w:p>
    <w:p>
      <w:pPr>
        <w:pStyle w:val="BodyText"/>
        <w:spacing w:before="3"/>
        <w:rPr>
          <w:b/>
          <w:sz w:val="26"/>
        </w:rPr>
      </w:pPr>
    </w:p>
    <w:p>
      <w:pPr>
        <w:pStyle w:val="Heading1"/>
      </w:pPr>
      <w:r>
        <w:rPr>
          <w:color w:val="202020"/>
        </w:rPr>
        <w:t>Goods</w:t>
      </w:r>
    </w:p>
    <w:p>
      <w:pPr>
        <w:pStyle w:val="BodyText"/>
        <w:spacing w:line="446" w:lineRule="auto" w:before="256"/>
        <w:ind w:left="100" w:right="3743"/>
      </w:pPr>
      <w:r>
        <w:rPr>
          <w:rFonts w:ascii="Arial-BoldItalicMT"/>
          <w:b/>
          <w:i/>
        </w:rPr>
        <w:t>Class 34 </w:t>
      </w:r>
      <w:r>
        <w:rPr/>
        <w:t>: Tobacco; raw or manufactured; smokers' articles; matches. Effective Date : 1 November 1996 Canberra File : C96/12051</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7"/>
      <w:szCs w:val="27"/>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2020-12-09T22:32:40Z</dcterms:created>
  <dcterms:modified xsi:type="dcterms:W3CDTF">2020-12-09T22:32:40Z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