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1996 61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pacing w:val="-4"/>
          <w:sz w:val="36"/>
        </w:rPr>
        <w:t>REMOVAL </w:t>
      </w:r>
      <w:r>
        <w:rPr>
          <w:b/>
          <w:color w:val="202020"/>
          <w:sz w:val="36"/>
        </w:rPr>
        <w:t>OF CANADIAN MARGIN OF PREFERENCE </w:t>
      </w:r>
      <w:r>
        <w:rPr>
          <w:b/>
          <w:color w:val="202020"/>
          <w:spacing w:val="-5"/>
          <w:sz w:val="36"/>
        </w:rPr>
        <w:t>FROM </w:t>
      </w:r>
      <w:r>
        <w:rPr>
          <w:b/>
          <w:color w:val="202020"/>
          <w:spacing w:val="-4"/>
          <w:sz w:val="36"/>
        </w:rPr>
        <w:t>CERTAIN</w:t>
      </w:r>
      <w:r>
        <w:rPr>
          <w:b/>
          <w:color w:val="202020"/>
          <w:sz w:val="36"/>
        </w:rPr>
        <w:t> PETROCHEMICALS</w:t>
      </w:r>
    </w:p>
    <w:p>
      <w:pPr>
        <w:pStyle w:val="BodyText"/>
        <w:spacing w:before="159"/>
      </w:pPr>
      <w:r>
        <w:rPr/>
        <w:t>Customs </w:t>
      </w:r>
      <w:r>
        <w:rPr>
          <w:spacing w:val="-5"/>
        </w:rPr>
        <w:t>Tariff </w:t>
      </w:r>
      <w:r>
        <w:rPr/>
        <w:t>Proposal (No.3) 1996 was tabled in the House of Representatives by the Minister for </w:t>
      </w:r>
      <w:r>
        <w:rPr>
          <w:spacing w:val="-4"/>
        </w:rPr>
        <w:t>Small </w:t>
      </w:r>
      <w:r>
        <w:rPr/>
        <w:t>Business and Consumer Affairs on 9 December</w:t>
      </w:r>
      <w:r>
        <w:rPr>
          <w:spacing w:val="-1"/>
        </w:rPr>
        <w:t> </w:t>
      </w:r>
      <w:r>
        <w:rPr/>
        <w:t>1996.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"/>
        <w:ind w:right="83"/>
      </w:pPr>
      <w:r>
        <w:rPr/>
        <w:t>The Proposal implements the Government's decision to remove the Canadian margin of preference from polystyrene of 3903, polyvinyl chloride of 3904 and polyvinyl esters of 3905 from 1 January 1997. From that date imports of these chemicals of Canadian origin will attract the general rate of duty.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before="1"/>
      </w:pPr>
      <w:r>
        <w:rPr/>
        <w:t>Tariff reprint pages 39/7 (R.2) and 39/9 (R.1) have been printed and will be despatched to subscribers on 18 December.</w:t>
      </w:r>
    </w:p>
    <w:p>
      <w:pPr>
        <w:pStyle w:val="BodyText"/>
        <w:spacing w:line="450" w:lineRule="exact" w:before="44"/>
        <w:ind w:right="1227"/>
      </w:pPr>
      <w:r>
        <w:rPr/>
        <w:t>Any queries on this change, in the first instance, should be directed to Ray Banvill on (06) 275 6516. (Richard Janeczko)</w:t>
      </w:r>
    </w:p>
    <w:p>
      <w:pPr>
        <w:pStyle w:val="BodyText"/>
        <w:spacing w:line="194" w:lineRule="exact"/>
      </w:pPr>
      <w:r>
        <w:rPr/>
        <w:t>National Manager</w:t>
      </w:r>
    </w:p>
    <w:p>
      <w:pPr>
        <w:pStyle w:val="BodyText"/>
        <w:spacing w:line="446" w:lineRule="auto"/>
        <w:ind w:right="8505"/>
      </w:pPr>
      <w:r>
        <w:rPr/>
        <w:t>Tariff and Valuation 11 December 1996</w:t>
      </w:r>
    </w:p>
    <w:p>
      <w:pPr>
        <w:pStyle w:val="BodyText"/>
        <w:spacing w:before="1"/>
      </w:pPr>
      <w:r>
        <w:rPr/>
        <w:t>(Tariff Legislation - C95/7226)</w:t>
      </w:r>
    </w:p>
    <w:sectPr>
      <w:type w:val="continuous"/>
      <w:pgSz w:w="11900" w:h="16840"/>
      <w:pgMar w:top="700" w:bottom="280" w:left="6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2020-12-09T23:05:19Z</dcterms:created>
  <dcterms:modified xsi:type="dcterms:W3CDTF">2020-12-09T23:05:19Z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