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62</w:t>
      </w:r>
    </w:p>
    <w:p>
      <w:pPr>
        <w:spacing w:before="357"/>
        <w:ind w:left="108" w:right="0" w:firstLine="0"/>
        <w:jc w:val="left"/>
        <w:rPr>
          <w:b/>
          <w:sz w:val="32"/>
        </w:rPr>
      </w:pPr>
      <w:r>
        <w:rPr>
          <w:b/>
          <w:color w:val="202020"/>
          <w:sz w:val="32"/>
        </w:rPr>
        <w:t>CHEMICAL WEAPONS CONVENTION - IMPORT STATISTICAL CODES</w:t>
      </w:r>
    </w:p>
    <w:p>
      <w:pPr>
        <w:pStyle w:val="BodyText"/>
        <w:spacing w:line="237" w:lineRule="auto" w:before="256"/>
        <w:ind w:right="389"/>
      </w:pPr>
      <w:r>
        <w:rPr/>
        <w:t>In May 1994, Australia ratified a new international treaty, the Chemical Weapons Convention (CWC). The CWC prohibits the development, production, stockpiling and use of chemical weapons. It sets up requirements for reporting by contracting parties of activities relevant to the objects of the Convention, and for verification of these activities by an international inspectorate. The CWC will enter into force on 29 April 1997 and preparations are currently being made for its implementation in Australia.</w:t>
      </w:r>
    </w:p>
    <w:p>
      <w:pPr>
        <w:pStyle w:val="BodyText"/>
        <w:spacing w:before="6"/>
        <w:ind w:left="0"/>
        <w:rPr>
          <w:sz w:val="16"/>
        </w:rPr>
      </w:pPr>
    </w:p>
    <w:p>
      <w:pPr>
        <w:pStyle w:val="BodyText"/>
        <w:spacing w:line="237" w:lineRule="auto"/>
        <w:ind w:right="198"/>
      </w:pPr>
      <w:r>
        <w:rPr/>
        <w:t>The World Customs Organization (WCO) has been requested to prepare changes to the Harmonized Commodity Description and Coding System (HCDCS), so that CWC scheduled chemicals are more clearly identifiable. It appears that the changes to the HCDCS will not take place before 2000. At the WCO 87/88 session in June 1996, member administrations and contracting parties to the HCDCS agreed to a recommended to take all appropriate action to insert additional subdivisions in their statistical nomenclatures.</w:t>
      </w:r>
    </w:p>
    <w:p>
      <w:pPr>
        <w:pStyle w:val="BodyText"/>
        <w:spacing w:before="6"/>
        <w:ind w:left="0"/>
        <w:rPr>
          <w:sz w:val="16"/>
        </w:rPr>
      </w:pPr>
    </w:p>
    <w:p>
      <w:pPr>
        <w:pStyle w:val="BodyText"/>
        <w:spacing w:line="237" w:lineRule="auto"/>
        <w:ind w:right="378"/>
      </w:pPr>
      <w:r>
        <w:rPr/>
        <w:t>On 1 January 1997, the Australian Bureau of Statistics (ABS) will introduce a number of new statistical codes to capture data on the imports of certain chemicals. This is being done at the request of the Department of Foreign Affairs and Trade to meet Australia's international obligations under the CWC.</w:t>
      </w:r>
    </w:p>
    <w:p>
      <w:pPr>
        <w:pStyle w:val="BodyText"/>
        <w:spacing w:before="5"/>
        <w:ind w:left="0"/>
        <w:rPr>
          <w:sz w:val="16"/>
        </w:rPr>
      </w:pPr>
    </w:p>
    <w:p>
      <w:pPr>
        <w:pStyle w:val="BodyText"/>
        <w:spacing w:line="237" w:lineRule="auto" w:before="1"/>
        <w:ind w:right="358"/>
      </w:pPr>
      <w:r>
        <w:rPr/>
        <w:t>The normal ABS response to commercial and legislative requests for new statistical codes is to survey importers, exporters, their Customs brokers and agents to ensure proposals are workable. This course of action has been followed with the more complex proposals stemming from the CWC.</w:t>
      </w:r>
    </w:p>
    <w:p>
      <w:pPr>
        <w:pStyle w:val="BodyText"/>
        <w:spacing w:before="3"/>
        <w:ind w:left="0"/>
        <w:rPr>
          <w:sz w:val="16"/>
        </w:rPr>
      </w:pPr>
    </w:p>
    <w:p>
      <w:pPr>
        <w:pStyle w:val="BodyText"/>
        <w:spacing w:before="1"/>
      </w:pPr>
      <w:r>
        <w:rPr/>
        <w:t>However, bearing in mind Australia's international obligations, and to a lesser extent, the cost associated with surveys, the ABS did not canvas the more straightforward proposals, eg.</w:t>
      </w:r>
    </w:p>
    <w:p>
      <w:pPr>
        <w:pStyle w:val="BodyText"/>
        <w:spacing w:before="5"/>
        <w:ind w:left="0"/>
        <w:rPr>
          <w:sz w:val="16"/>
        </w:rPr>
      </w:pPr>
    </w:p>
    <w:p>
      <w:pPr>
        <w:pStyle w:val="BodyText"/>
        <w:spacing w:line="237" w:lineRule="auto"/>
        <w:ind w:right="213"/>
      </w:pPr>
      <w:r>
        <w:rPr/>
        <w:t>Customs </w:t>
      </w:r>
      <w:r>
        <w:rPr>
          <w:spacing w:val="-5"/>
        </w:rPr>
        <w:t>Tariff </w:t>
      </w:r>
      <w:r>
        <w:rPr/>
        <w:t>Item/Statistical Code 2811.19.00/03 is currently used to record imports of sundry inorganic acids, amongst which is hydrocycanic acid. It is proposed to replace this TI/SC with 2811.19.00/38 (to collect solely hydrocycanic acid, which is scheduled) and 2811.19.00/39 (to collect other acids which are not scheduled).</w:t>
      </w:r>
    </w:p>
    <w:p>
      <w:pPr>
        <w:pStyle w:val="BodyText"/>
        <w:spacing w:before="5"/>
        <w:ind w:left="0"/>
        <w:rPr>
          <w:sz w:val="16"/>
        </w:rPr>
      </w:pPr>
    </w:p>
    <w:p>
      <w:pPr>
        <w:pStyle w:val="BodyText"/>
        <w:spacing w:line="237" w:lineRule="auto"/>
        <w:ind w:right="178"/>
      </w:pPr>
      <w:r>
        <w:rPr/>
        <w:t>A list of the affected statistical codes and their survey status appears on the attachment. The Australian Customs Service will dispatch appropriate Tariff Reprint pages from Canberra on 18 December 1996.</w:t>
      </w:r>
    </w:p>
    <w:p>
      <w:pPr>
        <w:pStyle w:val="BodyText"/>
        <w:spacing w:before="4"/>
        <w:ind w:left="0"/>
        <w:rPr>
          <w:sz w:val="16"/>
        </w:rPr>
      </w:pPr>
    </w:p>
    <w:p>
      <w:pPr>
        <w:pStyle w:val="BodyText"/>
      </w:pPr>
      <w:r>
        <w:rPr/>
        <w:t>Queries can be directed as follows:</w:t>
      </w:r>
    </w:p>
    <w:p>
      <w:pPr>
        <w:pStyle w:val="BodyText"/>
        <w:spacing w:line="400" w:lineRule="atLeast" w:before="6"/>
        <w:ind w:right="11815"/>
        <w:rPr>
          <w:b/>
        </w:rPr>
      </w:pPr>
      <w:r>
        <w:rPr/>
        <w:t>On the statistical structures and the surveys - </w:t>
      </w:r>
      <w:r>
        <w:rPr>
          <w:b/>
        </w:rPr>
        <w:t>Chris Lumb</w:t>
      </w:r>
    </w:p>
    <w:p>
      <w:pPr>
        <w:spacing w:line="237" w:lineRule="auto" w:before="6"/>
        <w:ind w:left="108" w:right="12949" w:firstLine="0"/>
        <w:jc w:val="left"/>
        <w:rPr>
          <w:b/>
          <w:sz w:val="19"/>
        </w:rPr>
      </w:pPr>
      <w:r>
        <w:rPr>
          <w:b/>
          <w:sz w:val="19"/>
        </w:rPr>
        <w:t>Australian Bureau of</w:t>
      </w:r>
      <w:r>
        <w:rPr>
          <w:b/>
          <w:spacing w:val="-24"/>
          <w:sz w:val="19"/>
        </w:rPr>
        <w:t> </w:t>
      </w:r>
      <w:r>
        <w:rPr>
          <w:b/>
          <w:sz w:val="19"/>
        </w:rPr>
        <w:t>Statistics Telephone - 06 252</w:t>
      </w:r>
      <w:r>
        <w:rPr>
          <w:b/>
          <w:spacing w:val="-10"/>
          <w:sz w:val="19"/>
        </w:rPr>
        <w:t> </w:t>
      </w:r>
      <w:r>
        <w:rPr>
          <w:b/>
          <w:sz w:val="19"/>
        </w:rPr>
        <w:t>5409</w:t>
      </w:r>
    </w:p>
    <w:p>
      <w:pPr>
        <w:spacing w:line="217" w:lineRule="exact" w:before="0"/>
        <w:ind w:left="108" w:right="0" w:firstLine="0"/>
        <w:jc w:val="left"/>
        <w:rPr>
          <w:b/>
          <w:sz w:val="19"/>
        </w:rPr>
      </w:pPr>
      <w:r>
        <w:rPr>
          <w:b/>
          <w:sz w:val="19"/>
        </w:rPr>
        <w:t>Facsimile - 06 252</w:t>
      </w:r>
      <w:r>
        <w:rPr>
          <w:b/>
          <w:spacing w:val="-11"/>
          <w:sz w:val="19"/>
        </w:rPr>
        <w:t> </w:t>
      </w:r>
      <w:r>
        <w:rPr>
          <w:b/>
          <w:sz w:val="19"/>
        </w:rPr>
        <w:t>7438.</w:t>
      </w:r>
    </w:p>
    <w:p>
      <w:pPr>
        <w:pStyle w:val="BodyText"/>
        <w:spacing w:before="5"/>
        <w:ind w:left="0"/>
        <w:rPr>
          <w:b/>
          <w:sz w:val="16"/>
        </w:rPr>
      </w:pPr>
    </w:p>
    <w:p>
      <w:pPr>
        <w:spacing w:line="237" w:lineRule="auto" w:before="0"/>
        <w:ind w:left="108" w:right="13778" w:firstLine="0"/>
        <w:jc w:val="left"/>
        <w:rPr>
          <w:b/>
          <w:sz w:val="19"/>
        </w:rPr>
      </w:pPr>
      <w:r>
        <w:rPr>
          <w:sz w:val="19"/>
        </w:rPr>
        <w:t>On the CWC </w:t>
      </w:r>
      <w:r>
        <w:rPr>
          <w:b/>
          <w:sz w:val="19"/>
        </w:rPr>
        <w:t>- Malcolm Coxhead</w:t>
      </w:r>
    </w:p>
    <w:p>
      <w:pPr>
        <w:spacing w:line="237" w:lineRule="auto" w:before="0"/>
        <w:ind w:left="108" w:right="12278" w:firstLine="0"/>
        <w:jc w:val="left"/>
        <w:rPr>
          <w:b/>
          <w:sz w:val="19"/>
        </w:rPr>
      </w:pPr>
      <w:r>
        <w:rPr>
          <w:b/>
          <w:sz w:val="19"/>
        </w:rPr>
        <w:t>Chemical Weapons Convention </w:t>
      </w:r>
      <w:r>
        <w:rPr>
          <w:b/>
          <w:spacing w:val="-3"/>
          <w:sz w:val="19"/>
        </w:rPr>
        <w:t>Office </w:t>
      </w:r>
      <w:r>
        <w:rPr>
          <w:b/>
          <w:sz w:val="19"/>
        </w:rPr>
        <w:t>Dept. of Foreign Affairs and </w:t>
      </w:r>
      <w:r>
        <w:rPr>
          <w:b/>
          <w:spacing w:val="-3"/>
          <w:sz w:val="19"/>
        </w:rPr>
        <w:t>Trade </w:t>
      </w:r>
      <w:r>
        <w:rPr>
          <w:b/>
          <w:sz w:val="19"/>
        </w:rPr>
        <w:t>Telephone - 06 272</w:t>
      </w:r>
      <w:r>
        <w:rPr>
          <w:b/>
          <w:spacing w:val="-7"/>
          <w:sz w:val="19"/>
        </w:rPr>
        <w:t> </w:t>
      </w:r>
      <w:r>
        <w:rPr>
          <w:b/>
          <w:sz w:val="19"/>
        </w:rPr>
        <w:t>5777</w:t>
      </w:r>
    </w:p>
    <w:p>
      <w:pPr>
        <w:spacing w:line="217" w:lineRule="exact" w:before="0"/>
        <w:ind w:left="108" w:right="0" w:firstLine="0"/>
        <w:jc w:val="left"/>
        <w:rPr>
          <w:b/>
          <w:sz w:val="19"/>
        </w:rPr>
      </w:pPr>
      <w:r>
        <w:rPr>
          <w:b/>
          <w:sz w:val="19"/>
        </w:rPr>
        <w:t>Facsimile - 06 272</w:t>
      </w:r>
      <w:r>
        <w:rPr>
          <w:b/>
          <w:spacing w:val="-11"/>
          <w:sz w:val="19"/>
        </w:rPr>
        <w:t> </w:t>
      </w:r>
      <w:r>
        <w:rPr>
          <w:b/>
          <w:sz w:val="19"/>
        </w:rPr>
        <w:t>4904.</w:t>
      </w:r>
    </w:p>
    <w:p>
      <w:pPr>
        <w:pStyle w:val="BodyText"/>
        <w:spacing w:before="4"/>
        <w:ind w:left="0"/>
        <w:rPr>
          <w:b/>
          <w:sz w:val="16"/>
        </w:rPr>
      </w:pPr>
    </w:p>
    <w:p>
      <w:pPr>
        <w:pStyle w:val="BodyText"/>
        <w:spacing w:line="217" w:lineRule="exact"/>
      </w:pPr>
      <w:r>
        <w:rPr/>
        <w:t>R. Janeczko</w:t>
      </w:r>
    </w:p>
    <w:p>
      <w:pPr>
        <w:pStyle w:val="BodyText"/>
        <w:spacing w:line="237" w:lineRule="auto" w:before="1"/>
        <w:ind w:right="11815"/>
      </w:pPr>
      <w:r>
        <w:rPr/>
        <w:t>for CHIEF EXECUTIVE OFFICER CANBERRA ACT 2601</w:t>
      </w:r>
    </w:p>
    <w:p>
      <w:pPr>
        <w:pStyle w:val="BodyText"/>
        <w:spacing w:before="3"/>
        <w:ind w:left="0"/>
        <w:rPr>
          <w:sz w:val="16"/>
        </w:rPr>
      </w:pPr>
    </w:p>
    <w:p>
      <w:pPr>
        <w:pStyle w:val="BodyText"/>
      </w:pPr>
      <w:r>
        <w:rPr/>
        <w:t>5 December 1996</w:t>
      </w:r>
    </w:p>
    <w:p>
      <w:pPr>
        <w:spacing w:after="0"/>
        <w:sectPr>
          <w:type w:val="continuous"/>
          <w:pgSz w:w="16840" w:h="11900" w:orient="landscape"/>
          <w:pgMar w:top="680" w:bottom="280" w:left="580" w:right="440"/>
        </w:sectPr>
      </w:pPr>
    </w:p>
    <w:p>
      <w:pPr>
        <w:spacing w:line="237" w:lineRule="auto" w:before="79"/>
        <w:ind w:left="108" w:right="12949" w:firstLine="0"/>
        <w:jc w:val="left"/>
        <w:rPr>
          <w:b/>
          <w:sz w:val="19"/>
        </w:rPr>
      </w:pPr>
      <w:r>
        <w:rPr>
          <w:sz w:val="19"/>
        </w:rPr>
        <w:t>(Tariff Legislation - C95/3508) </w:t>
      </w:r>
      <w:r>
        <w:rPr>
          <w:b/>
          <w:sz w:val="19"/>
        </w:rPr>
        <w:t>Attachment to ACN 96/62</w:t>
      </w:r>
    </w:p>
    <w:p>
      <w:pPr>
        <w:pStyle w:val="BodyText"/>
        <w:spacing w:before="6"/>
        <w:ind w:left="0"/>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862"/>
        <w:gridCol w:w="9158"/>
        <w:gridCol w:w="2570"/>
      </w:tblGrid>
      <w:tr>
        <w:trPr>
          <w:trHeight w:val="404" w:hRule="atLeast"/>
        </w:trPr>
        <w:tc>
          <w:tcPr>
            <w:tcW w:w="3862" w:type="dxa"/>
            <w:tcBorders>
              <w:left w:val="nil"/>
            </w:tcBorders>
          </w:tcPr>
          <w:p>
            <w:pPr>
              <w:pStyle w:val="TableParagraph"/>
              <w:rPr>
                <w:b/>
                <w:sz w:val="19"/>
              </w:rPr>
            </w:pPr>
            <w:r>
              <w:rPr>
                <w:b/>
                <w:color w:val="202020"/>
                <w:sz w:val="19"/>
                <w:u w:val="single" w:color="202020"/>
              </w:rPr>
              <w:t>Customs Tariff Item Statistical Code</w:t>
            </w:r>
          </w:p>
        </w:tc>
        <w:tc>
          <w:tcPr>
            <w:tcW w:w="9158" w:type="dxa"/>
          </w:tcPr>
          <w:p>
            <w:pPr>
              <w:pStyle w:val="TableParagraph"/>
              <w:rPr>
                <w:b/>
                <w:sz w:val="19"/>
              </w:rPr>
            </w:pPr>
            <w:r>
              <w:rPr>
                <w:b/>
                <w:color w:val="202020"/>
                <w:sz w:val="19"/>
                <w:u w:val="single" w:color="202020"/>
              </w:rPr>
              <w:t>Brief Description</w:t>
            </w:r>
          </w:p>
        </w:tc>
        <w:tc>
          <w:tcPr>
            <w:tcW w:w="2570" w:type="dxa"/>
            <w:tcBorders>
              <w:right w:val="nil"/>
            </w:tcBorders>
          </w:tcPr>
          <w:p>
            <w:pPr>
              <w:pStyle w:val="TableParagraph"/>
              <w:rPr>
                <w:b/>
                <w:sz w:val="19"/>
              </w:rPr>
            </w:pPr>
            <w:r>
              <w:rPr>
                <w:b/>
                <w:color w:val="202020"/>
                <w:sz w:val="19"/>
                <w:u w:val="single" w:color="202020"/>
              </w:rPr>
              <w:t>Whether ABS surveyed</w:t>
            </w:r>
          </w:p>
        </w:tc>
      </w:tr>
      <w:tr>
        <w:trPr>
          <w:trHeight w:val="404" w:hRule="atLeast"/>
        </w:trPr>
        <w:tc>
          <w:tcPr>
            <w:tcW w:w="3862" w:type="dxa"/>
            <w:tcBorders>
              <w:left w:val="nil"/>
            </w:tcBorders>
          </w:tcPr>
          <w:p>
            <w:pPr>
              <w:pStyle w:val="TableParagraph"/>
              <w:rPr>
                <w:sz w:val="19"/>
              </w:rPr>
            </w:pPr>
            <w:r>
              <w:rPr>
                <w:color w:val="202020"/>
                <w:sz w:val="19"/>
              </w:rPr>
              <w:t>2811.19.00/03</w:t>
            </w:r>
          </w:p>
        </w:tc>
        <w:tc>
          <w:tcPr>
            <w:tcW w:w="9158" w:type="dxa"/>
          </w:tcPr>
          <w:p>
            <w:pPr>
              <w:pStyle w:val="TableParagraph"/>
              <w:rPr>
                <w:sz w:val="19"/>
              </w:rPr>
            </w:pPr>
            <w:r>
              <w:rPr>
                <w:color w:val="202020"/>
                <w:sz w:val="19"/>
              </w:rPr>
              <w:t>Inorganic acids excl. hydrofluoric</w:t>
            </w:r>
          </w:p>
        </w:tc>
        <w:tc>
          <w:tcPr>
            <w:tcW w:w="2570" w:type="dxa"/>
            <w:tcBorders>
              <w:right w:val="nil"/>
            </w:tcBorders>
          </w:tcPr>
          <w:p>
            <w:pPr>
              <w:pStyle w:val="TableParagraph"/>
              <w:rPr>
                <w:sz w:val="19"/>
              </w:rPr>
            </w:pPr>
            <w:r>
              <w:rPr>
                <w:color w:val="202020"/>
                <w:sz w:val="19"/>
              </w:rPr>
              <w:t>No</w:t>
            </w:r>
          </w:p>
        </w:tc>
      </w:tr>
      <w:tr>
        <w:trPr>
          <w:trHeight w:val="404" w:hRule="atLeast"/>
        </w:trPr>
        <w:tc>
          <w:tcPr>
            <w:tcW w:w="3862" w:type="dxa"/>
            <w:tcBorders>
              <w:left w:val="nil"/>
            </w:tcBorders>
          </w:tcPr>
          <w:p>
            <w:pPr>
              <w:pStyle w:val="TableParagraph"/>
              <w:rPr>
                <w:sz w:val="19"/>
              </w:rPr>
            </w:pPr>
            <w:r>
              <w:rPr>
                <w:color w:val="202020"/>
                <w:sz w:val="19"/>
              </w:rPr>
              <w:t>2812.10.00/09</w:t>
            </w:r>
          </w:p>
        </w:tc>
        <w:tc>
          <w:tcPr>
            <w:tcW w:w="9158" w:type="dxa"/>
          </w:tcPr>
          <w:p>
            <w:pPr>
              <w:pStyle w:val="TableParagraph"/>
              <w:rPr>
                <w:sz w:val="19"/>
              </w:rPr>
            </w:pPr>
            <w:r>
              <w:rPr>
                <w:color w:val="202020"/>
                <w:sz w:val="19"/>
              </w:rPr>
              <w:t>Chlorides and chloride oxides</w:t>
            </w:r>
          </w:p>
        </w:tc>
        <w:tc>
          <w:tcPr>
            <w:tcW w:w="2570" w:type="dxa"/>
            <w:tcBorders>
              <w:right w:val="nil"/>
            </w:tcBorders>
          </w:tcPr>
          <w:p>
            <w:pPr>
              <w:pStyle w:val="TableParagraph"/>
              <w:rPr>
                <w:sz w:val="19"/>
              </w:rPr>
            </w:pPr>
            <w:r>
              <w:rPr>
                <w:color w:val="202020"/>
                <w:sz w:val="19"/>
              </w:rPr>
              <w:t>Yes</w:t>
            </w:r>
          </w:p>
        </w:tc>
      </w:tr>
      <w:tr>
        <w:trPr>
          <w:trHeight w:val="404" w:hRule="atLeast"/>
        </w:trPr>
        <w:tc>
          <w:tcPr>
            <w:tcW w:w="3862" w:type="dxa"/>
            <w:tcBorders>
              <w:left w:val="nil"/>
            </w:tcBorders>
          </w:tcPr>
          <w:p>
            <w:pPr>
              <w:pStyle w:val="TableParagraph"/>
              <w:rPr>
                <w:sz w:val="19"/>
              </w:rPr>
            </w:pPr>
            <w:r>
              <w:rPr>
                <w:color w:val="202020"/>
                <w:sz w:val="19"/>
              </w:rPr>
              <w:t>2851.00.00/21</w:t>
            </w:r>
          </w:p>
        </w:tc>
        <w:tc>
          <w:tcPr>
            <w:tcW w:w="9158" w:type="dxa"/>
          </w:tcPr>
          <w:p>
            <w:pPr>
              <w:pStyle w:val="TableParagraph"/>
              <w:rPr>
                <w:sz w:val="19"/>
              </w:rPr>
            </w:pPr>
            <w:r>
              <w:rPr>
                <w:color w:val="202020"/>
                <w:sz w:val="19"/>
              </w:rPr>
              <w:t>Other inorganic compounds</w:t>
            </w:r>
          </w:p>
        </w:tc>
        <w:tc>
          <w:tcPr>
            <w:tcW w:w="2570" w:type="dxa"/>
            <w:tcBorders>
              <w:right w:val="nil"/>
            </w:tcBorders>
          </w:tcPr>
          <w:p>
            <w:pPr>
              <w:pStyle w:val="TableParagraph"/>
              <w:rPr>
                <w:sz w:val="19"/>
              </w:rPr>
            </w:pPr>
            <w:r>
              <w:rPr>
                <w:color w:val="202020"/>
                <w:sz w:val="19"/>
              </w:rPr>
              <w:t>No</w:t>
            </w:r>
          </w:p>
        </w:tc>
      </w:tr>
      <w:tr>
        <w:trPr>
          <w:trHeight w:val="404" w:hRule="atLeast"/>
        </w:trPr>
        <w:tc>
          <w:tcPr>
            <w:tcW w:w="3862" w:type="dxa"/>
            <w:tcBorders>
              <w:left w:val="nil"/>
            </w:tcBorders>
          </w:tcPr>
          <w:p>
            <w:pPr>
              <w:pStyle w:val="TableParagraph"/>
              <w:rPr>
                <w:sz w:val="19"/>
              </w:rPr>
            </w:pPr>
            <w:r>
              <w:rPr>
                <w:color w:val="202020"/>
                <w:sz w:val="19"/>
              </w:rPr>
              <w:t>2903.30.00/01</w:t>
            </w:r>
          </w:p>
        </w:tc>
        <w:tc>
          <w:tcPr>
            <w:tcW w:w="9158" w:type="dxa"/>
          </w:tcPr>
          <w:p>
            <w:pPr>
              <w:pStyle w:val="TableParagraph"/>
              <w:rPr>
                <w:sz w:val="19"/>
              </w:rPr>
            </w:pPr>
            <w:r>
              <w:rPr>
                <w:color w:val="202020"/>
                <w:sz w:val="19"/>
              </w:rPr>
              <w:t>Fluorinated, brominated or iodinated derivatives of acyclic hydrocarbons</w:t>
            </w:r>
          </w:p>
        </w:tc>
        <w:tc>
          <w:tcPr>
            <w:tcW w:w="2570" w:type="dxa"/>
            <w:tcBorders>
              <w:right w:val="nil"/>
            </w:tcBorders>
          </w:tcPr>
          <w:p>
            <w:pPr>
              <w:pStyle w:val="TableParagraph"/>
              <w:rPr>
                <w:sz w:val="19"/>
              </w:rPr>
            </w:pPr>
            <w:r>
              <w:rPr>
                <w:color w:val="202020"/>
                <w:sz w:val="19"/>
              </w:rPr>
              <w:t>No</w:t>
            </w:r>
          </w:p>
        </w:tc>
      </w:tr>
      <w:tr>
        <w:trPr>
          <w:trHeight w:val="404" w:hRule="atLeast"/>
        </w:trPr>
        <w:tc>
          <w:tcPr>
            <w:tcW w:w="3862" w:type="dxa"/>
            <w:tcBorders>
              <w:left w:val="nil"/>
            </w:tcBorders>
          </w:tcPr>
          <w:p>
            <w:pPr>
              <w:pStyle w:val="TableParagraph"/>
              <w:rPr>
                <w:sz w:val="19"/>
              </w:rPr>
            </w:pPr>
            <w:r>
              <w:rPr>
                <w:color w:val="202020"/>
                <w:sz w:val="19"/>
              </w:rPr>
              <w:t>2904.90.00/48</w:t>
            </w:r>
          </w:p>
        </w:tc>
        <w:tc>
          <w:tcPr>
            <w:tcW w:w="9158" w:type="dxa"/>
          </w:tcPr>
          <w:p>
            <w:pPr>
              <w:pStyle w:val="TableParagraph"/>
              <w:rPr>
                <w:sz w:val="19"/>
              </w:rPr>
            </w:pPr>
            <w:r>
              <w:rPr>
                <w:color w:val="202020"/>
                <w:sz w:val="19"/>
              </w:rPr>
              <w:t>Other sulphonated, nitrated or nitrosated derivatives of hydrocarbons</w:t>
            </w:r>
          </w:p>
        </w:tc>
        <w:tc>
          <w:tcPr>
            <w:tcW w:w="2570" w:type="dxa"/>
            <w:tcBorders>
              <w:right w:val="nil"/>
            </w:tcBorders>
          </w:tcPr>
          <w:p>
            <w:pPr>
              <w:pStyle w:val="TableParagraph"/>
              <w:rPr>
                <w:sz w:val="19"/>
              </w:rPr>
            </w:pPr>
            <w:r>
              <w:rPr>
                <w:color w:val="202020"/>
                <w:sz w:val="19"/>
              </w:rPr>
              <w:t>No</w:t>
            </w:r>
          </w:p>
        </w:tc>
      </w:tr>
      <w:tr>
        <w:trPr>
          <w:trHeight w:val="404" w:hRule="atLeast"/>
        </w:trPr>
        <w:tc>
          <w:tcPr>
            <w:tcW w:w="3862" w:type="dxa"/>
            <w:tcBorders>
              <w:left w:val="nil"/>
            </w:tcBorders>
          </w:tcPr>
          <w:p>
            <w:pPr>
              <w:pStyle w:val="TableParagraph"/>
              <w:rPr>
                <w:sz w:val="19"/>
              </w:rPr>
            </w:pPr>
            <w:r>
              <w:rPr>
                <w:color w:val="202020"/>
                <w:sz w:val="19"/>
              </w:rPr>
              <w:t>2905.19.90/40</w:t>
            </w:r>
          </w:p>
        </w:tc>
        <w:tc>
          <w:tcPr>
            <w:tcW w:w="9158" w:type="dxa"/>
          </w:tcPr>
          <w:p>
            <w:pPr>
              <w:pStyle w:val="TableParagraph"/>
              <w:rPr>
                <w:sz w:val="19"/>
              </w:rPr>
            </w:pPr>
            <w:r>
              <w:rPr>
                <w:color w:val="202020"/>
                <w:sz w:val="19"/>
              </w:rPr>
              <w:t>Saturated monohydric alcohols other than methanol, propyl alcohol, n-butyl alcohol, etc.</w:t>
            </w:r>
          </w:p>
        </w:tc>
        <w:tc>
          <w:tcPr>
            <w:tcW w:w="2570" w:type="dxa"/>
            <w:tcBorders>
              <w:right w:val="nil"/>
            </w:tcBorders>
          </w:tcPr>
          <w:p>
            <w:pPr>
              <w:pStyle w:val="TableParagraph"/>
              <w:rPr>
                <w:sz w:val="19"/>
              </w:rPr>
            </w:pPr>
            <w:r>
              <w:rPr>
                <w:color w:val="202020"/>
                <w:sz w:val="19"/>
              </w:rPr>
              <w:t>No</w:t>
            </w:r>
          </w:p>
        </w:tc>
      </w:tr>
      <w:tr>
        <w:trPr>
          <w:trHeight w:val="404" w:hRule="atLeast"/>
        </w:trPr>
        <w:tc>
          <w:tcPr>
            <w:tcW w:w="3862" w:type="dxa"/>
            <w:tcBorders>
              <w:left w:val="nil"/>
            </w:tcBorders>
          </w:tcPr>
          <w:p>
            <w:pPr>
              <w:pStyle w:val="TableParagraph"/>
              <w:rPr>
                <w:sz w:val="19"/>
              </w:rPr>
            </w:pPr>
            <w:r>
              <w:rPr>
                <w:color w:val="202020"/>
                <w:sz w:val="19"/>
              </w:rPr>
              <w:t>2918.19.00/34</w:t>
            </w:r>
          </w:p>
        </w:tc>
        <w:tc>
          <w:tcPr>
            <w:tcW w:w="9158" w:type="dxa"/>
          </w:tcPr>
          <w:p>
            <w:pPr>
              <w:pStyle w:val="TableParagraph"/>
              <w:rPr>
                <w:sz w:val="19"/>
              </w:rPr>
            </w:pPr>
            <w:r>
              <w:rPr>
                <w:color w:val="202020"/>
                <w:sz w:val="19"/>
              </w:rPr>
              <w:t>Carboxylic acids excl. lactic, tartaric, citric, etc.</w:t>
            </w:r>
          </w:p>
        </w:tc>
        <w:tc>
          <w:tcPr>
            <w:tcW w:w="2570" w:type="dxa"/>
            <w:tcBorders>
              <w:right w:val="nil"/>
            </w:tcBorders>
          </w:tcPr>
          <w:p>
            <w:pPr>
              <w:pStyle w:val="TableParagraph"/>
              <w:rPr>
                <w:sz w:val="19"/>
              </w:rPr>
            </w:pPr>
            <w:r>
              <w:rPr>
                <w:color w:val="202020"/>
                <w:sz w:val="19"/>
              </w:rPr>
              <w:t>No</w:t>
            </w:r>
          </w:p>
        </w:tc>
      </w:tr>
      <w:tr>
        <w:trPr>
          <w:trHeight w:val="404" w:hRule="atLeast"/>
        </w:trPr>
        <w:tc>
          <w:tcPr>
            <w:tcW w:w="3862" w:type="dxa"/>
            <w:tcBorders>
              <w:left w:val="nil"/>
            </w:tcBorders>
          </w:tcPr>
          <w:p>
            <w:pPr>
              <w:pStyle w:val="TableParagraph"/>
              <w:rPr>
                <w:sz w:val="19"/>
              </w:rPr>
            </w:pPr>
            <w:r>
              <w:rPr>
                <w:color w:val="202020"/>
                <w:sz w:val="19"/>
              </w:rPr>
              <w:t>2920.90.00/11</w:t>
            </w:r>
          </w:p>
        </w:tc>
        <w:tc>
          <w:tcPr>
            <w:tcW w:w="9158" w:type="dxa"/>
          </w:tcPr>
          <w:p>
            <w:pPr>
              <w:pStyle w:val="TableParagraph"/>
              <w:rPr>
                <w:sz w:val="19"/>
              </w:rPr>
            </w:pPr>
            <w:r>
              <w:rPr>
                <w:color w:val="202020"/>
                <w:sz w:val="19"/>
              </w:rPr>
              <w:t>Esters of other inorganic acids excl. thiophosphoric</w:t>
            </w:r>
          </w:p>
        </w:tc>
        <w:tc>
          <w:tcPr>
            <w:tcW w:w="2570" w:type="dxa"/>
            <w:tcBorders>
              <w:right w:val="nil"/>
            </w:tcBorders>
          </w:tcPr>
          <w:p>
            <w:pPr>
              <w:pStyle w:val="TableParagraph"/>
              <w:rPr>
                <w:sz w:val="19"/>
              </w:rPr>
            </w:pPr>
            <w:r>
              <w:rPr>
                <w:color w:val="202020"/>
                <w:sz w:val="19"/>
              </w:rPr>
              <w:t>No</w:t>
            </w:r>
          </w:p>
        </w:tc>
      </w:tr>
      <w:tr>
        <w:trPr>
          <w:trHeight w:val="404" w:hRule="atLeast"/>
        </w:trPr>
        <w:tc>
          <w:tcPr>
            <w:tcW w:w="3862" w:type="dxa"/>
            <w:tcBorders>
              <w:left w:val="nil"/>
            </w:tcBorders>
          </w:tcPr>
          <w:p>
            <w:pPr>
              <w:pStyle w:val="TableParagraph"/>
              <w:rPr>
                <w:sz w:val="19"/>
              </w:rPr>
            </w:pPr>
            <w:r>
              <w:rPr>
                <w:color w:val="202020"/>
                <w:sz w:val="19"/>
              </w:rPr>
              <w:t>2921.19.00/15</w:t>
            </w:r>
          </w:p>
        </w:tc>
        <w:tc>
          <w:tcPr>
            <w:tcW w:w="9158" w:type="dxa"/>
          </w:tcPr>
          <w:p>
            <w:pPr>
              <w:pStyle w:val="TableParagraph"/>
              <w:rPr>
                <w:sz w:val="19"/>
              </w:rPr>
            </w:pPr>
            <w:r>
              <w:rPr>
                <w:color w:val="202020"/>
                <w:sz w:val="19"/>
              </w:rPr>
              <w:t>Acyclic monoamines other than methylamine,dimethylamine, tremethylamine and diethylamine</w:t>
            </w:r>
          </w:p>
        </w:tc>
        <w:tc>
          <w:tcPr>
            <w:tcW w:w="2570" w:type="dxa"/>
            <w:tcBorders>
              <w:right w:val="nil"/>
            </w:tcBorders>
          </w:tcPr>
          <w:p>
            <w:pPr>
              <w:pStyle w:val="TableParagraph"/>
              <w:rPr>
                <w:sz w:val="19"/>
              </w:rPr>
            </w:pPr>
            <w:r>
              <w:rPr>
                <w:color w:val="202020"/>
                <w:sz w:val="19"/>
              </w:rPr>
              <w:t>Yes</w:t>
            </w:r>
          </w:p>
        </w:tc>
      </w:tr>
      <w:tr>
        <w:trPr>
          <w:trHeight w:val="404" w:hRule="atLeast"/>
        </w:trPr>
        <w:tc>
          <w:tcPr>
            <w:tcW w:w="3862" w:type="dxa"/>
            <w:tcBorders>
              <w:left w:val="nil"/>
            </w:tcBorders>
          </w:tcPr>
          <w:p>
            <w:pPr>
              <w:pStyle w:val="TableParagraph"/>
              <w:rPr>
                <w:sz w:val="19"/>
              </w:rPr>
            </w:pPr>
            <w:r>
              <w:rPr>
                <w:color w:val="202020"/>
                <w:sz w:val="19"/>
              </w:rPr>
              <w:t>2922.13.00/31</w:t>
            </w:r>
          </w:p>
        </w:tc>
        <w:tc>
          <w:tcPr>
            <w:tcW w:w="9158" w:type="dxa"/>
          </w:tcPr>
          <w:p>
            <w:pPr>
              <w:pStyle w:val="TableParagraph"/>
              <w:rPr>
                <w:sz w:val="19"/>
              </w:rPr>
            </w:pPr>
            <w:r>
              <w:rPr>
                <w:color w:val="202020"/>
                <w:sz w:val="19"/>
              </w:rPr>
              <w:t>Triethanolamine and its salts</w:t>
            </w:r>
          </w:p>
        </w:tc>
        <w:tc>
          <w:tcPr>
            <w:tcW w:w="2570" w:type="dxa"/>
            <w:tcBorders>
              <w:right w:val="nil"/>
            </w:tcBorders>
          </w:tcPr>
          <w:p>
            <w:pPr>
              <w:pStyle w:val="TableParagraph"/>
              <w:rPr>
                <w:sz w:val="19"/>
              </w:rPr>
            </w:pPr>
            <w:r>
              <w:rPr>
                <w:color w:val="202020"/>
                <w:sz w:val="19"/>
              </w:rPr>
              <w:t>No</w:t>
            </w:r>
          </w:p>
        </w:tc>
      </w:tr>
      <w:tr>
        <w:trPr>
          <w:trHeight w:val="404" w:hRule="atLeast"/>
        </w:trPr>
        <w:tc>
          <w:tcPr>
            <w:tcW w:w="3862" w:type="dxa"/>
            <w:tcBorders>
              <w:left w:val="nil"/>
            </w:tcBorders>
          </w:tcPr>
          <w:p>
            <w:pPr>
              <w:pStyle w:val="TableParagraph"/>
              <w:rPr>
                <w:sz w:val="19"/>
              </w:rPr>
            </w:pPr>
            <w:r>
              <w:rPr>
                <w:color w:val="202020"/>
                <w:sz w:val="19"/>
              </w:rPr>
              <w:t>2922.19.00/32</w:t>
            </w:r>
          </w:p>
        </w:tc>
        <w:tc>
          <w:tcPr>
            <w:tcW w:w="9158" w:type="dxa"/>
          </w:tcPr>
          <w:p>
            <w:pPr>
              <w:pStyle w:val="TableParagraph"/>
              <w:rPr>
                <w:sz w:val="19"/>
              </w:rPr>
            </w:pPr>
            <w:r>
              <w:rPr>
                <w:color w:val="202020"/>
                <w:sz w:val="19"/>
              </w:rPr>
              <w:t>Amino alcohols other than monoethanolamine, diethanolamine and triethanolamine</w:t>
            </w:r>
          </w:p>
        </w:tc>
        <w:tc>
          <w:tcPr>
            <w:tcW w:w="2570" w:type="dxa"/>
            <w:tcBorders>
              <w:right w:val="nil"/>
            </w:tcBorders>
          </w:tcPr>
          <w:p>
            <w:pPr>
              <w:pStyle w:val="TableParagraph"/>
              <w:rPr>
                <w:sz w:val="19"/>
              </w:rPr>
            </w:pPr>
            <w:r>
              <w:rPr>
                <w:color w:val="202020"/>
                <w:sz w:val="19"/>
              </w:rPr>
              <w:t>Yes</w:t>
            </w:r>
          </w:p>
        </w:tc>
      </w:tr>
      <w:tr>
        <w:trPr>
          <w:trHeight w:val="404" w:hRule="atLeast"/>
        </w:trPr>
        <w:tc>
          <w:tcPr>
            <w:tcW w:w="3862" w:type="dxa"/>
            <w:tcBorders>
              <w:left w:val="nil"/>
            </w:tcBorders>
          </w:tcPr>
          <w:p>
            <w:pPr>
              <w:pStyle w:val="TableParagraph"/>
              <w:rPr>
                <w:sz w:val="19"/>
              </w:rPr>
            </w:pPr>
            <w:r>
              <w:rPr>
                <w:color w:val="202020"/>
                <w:sz w:val="19"/>
              </w:rPr>
              <w:t>2929.90.00/36</w:t>
            </w:r>
          </w:p>
        </w:tc>
        <w:tc>
          <w:tcPr>
            <w:tcW w:w="9158" w:type="dxa"/>
          </w:tcPr>
          <w:p>
            <w:pPr>
              <w:pStyle w:val="TableParagraph"/>
              <w:rPr>
                <w:sz w:val="19"/>
              </w:rPr>
            </w:pPr>
            <w:r>
              <w:rPr>
                <w:color w:val="202020"/>
                <w:sz w:val="19"/>
              </w:rPr>
              <w:t>Compounds with other nitrogen functions, excl. isocyanates</w:t>
            </w:r>
          </w:p>
        </w:tc>
        <w:tc>
          <w:tcPr>
            <w:tcW w:w="2570" w:type="dxa"/>
            <w:tcBorders>
              <w:right w:val="nil"/>
            </w:tcBorders>
          </w:tcPr>
          <w:p>
            <w:pPr>
              <w:pStyle w:val="TableParagraph"/>
              <w:rPr>
                <w:sz w:val="19"/>
              </w:rPr>
            </w:pPr>
            <w:r>
              <w:rPr>
                <w:color w:val="202020"/>
                <w:sz w:val="19"/>
              </w:rPr>
              <w:t>Yes</w:t>
            </w:r>
          </w:p>
        </w:tc>
      </w:tr>
      <w:tr>
        <w:trPr>
          <w:trHeight w:val="404" w:hRule="atLeast"/>
        </w:trPr>
        <w:tc>
          <w:tcPr>
            <w:tcW w:w="3862" w:type="dxa"/>
            <w:tcBorders>
              <w:left w:val="nil"/>
            </w:tcBorders>
          </w:tcPr>
          <w:p>
            <w:pPr>
              <w:pStyle w:val="TableParagraph"/>
              <w:rPr>
                <w:sz w:val="19"/>
              </w:rPr>
            </w:pPr>
            <w:r>
              <w:rPr>
                <w:color w:val="202020"/>
                <w:sz w:val="19"/>
              </w:rPr>
              <w:t>2930.90.00/35</w:t>
            </w:r>
          </w:p>
        </w:tc>
        <w:tc>
          <w:tcPr>
            <w:tcW w:w="9158" w:type="dxa"/>
          </w:tcPr>
          <w:p>
            <w:pPr>
              <w:pStyle w:val="TableParagraph"/>
              <w:rPr>
                <w:sz w:val="19"/>
              </w:rPr>
            </w:pPr>
            <w:r>
              <w:rPr>
                <w:color w:val="202020"/>
                <w:sz w:val="19"/>
              </w:rPr>
              <w:t>Organo-sulphur compounds other than dimethoate</w:t>
            </w:r>
          </w:p>
        </w:tc>
        <w:tc>
          <w:tcPr>
            <w:tcW w:w="2570" w:type="dxa"/>
            <w:tcBorders>
              <w:right w:val="nil"/>
            </w:tcBorders>
          </w:tcPr>
          <w:p>
            <w:pPr>
              <w:pStyle w:val="TableParagraph"/>
              <w:rPr>
                <w:sz w:val="19"/>
              </w:rPr>
            </w:pPr>
            <w:r>
              <w:rPr>
                <w:color w:val="202020"/>
                <w:sz w:val="19"/>
              </w:rPr>
              <w:t>Yes</w:t>
            </w:r>
          </w:p>
        </w:tc>
      </w:tr>
      <w:tr>
        <w:trPr>
          <w:trHeight w:val="404" w:hRule="atLeast"/>
        </w:trPr>
        <w:tc>
          <w:tcPr>
            <w:tcW w:w="3862" w:type="dxa"/>
            <w:tcBorders>
              <w:left w:val="nil"/>
            </w:tcBorders>
          </w:tcPr>
          <w:p>
            <w:pPr>
              <w:pStyle w:val="TableParagraph"/>
              <w:rPr>
                <w:sz w:val="19"/>
              </w:rPr>
            </w:pPr>
            <w:r>
              <w:rPr>
                <w:color w:val="202020"/>
                <w:sz w:val="19"/>
              </w:rPr>
              <w:t>2931.00.90/02</w:t>
            </w:r>
          </w:p>
        </w:tc>
        <w:tc>
          <w:tcPr>
            <w:tcW w:w="9158" w:type="dxa"/>
          </w:tcPr>
          <w:p>
            <w:pPr>
              <w:pStyle w:val="TableParagraph"/>
              <w:rPr>
                <w:sz w:val="19"/>
              </w:rPr>
            </w:pPr>
            <w:r>
              <w:rPr>
                <w:color w:val="202020"/>
                <w:sz w:val="19"/>
              </w:rPr>
              <w:t>Other organo-inorganic compounds excl. glycine derivatives containing phosphono groups</w:t>
            </w:r>
          </w:p>
        </w:tc>
        <w:tc>
          <w:tcPr>
            <w:tcW w:w="2570" w:type="dxa"/>
            <w:tcBorders>
              <w:right w:val="nil"/>
            </w:tcBorders>
          </w:tcPr>
          <w:p>
            <w:pPr>
              <w:pStyle w:val="TableParagraph"/>
              <w:rPr>
                <w:sz w:val="19"/>
              </w:rPr>
            </w:pPr>
            <w:r>
              <w:rPr>
                <w:color w:val="202020"/>
                <w:sz w:val="19"/>
              </w:rPr>
              <w:t>Yes</w:t>
            </w:r>
          </w:p>
        </w:tc>
      </w:tr>
      <w:tr>
        <w:trPr>
          <w:trHeight w:val="404" w:hRule="atLeast"/>
        </w:trPr>
        <w:tc>
          <w:tcPr>
            <w:tcW w:w="3862" w:type="dxa"/>
            <w:tcBorders>
              <w:left w:val="nil"/>
            </w:tcBorders>
          </w:tcPr>
          <w:p>
            <w:pPr>
              <w:pStyle w:val="TableParagraph"/>
              <w:rPr>
                <w:sz w:val="19"/>
              </w:rPr>
            </w:pPr>
            <w:r>
              <w:rPr>
                <w:color w:val="202020"/>
                <w:sz w:val="19"/>
              </w:rPr>
              <w:t>2933.39.00/44</w:t>
            </w:r>
          </w:p>
        </w:tc>
        <w:tc>
          <w:tcPr>
            <w:tcW w:w="9158" w:type="dxa"/>
          </w:tcPr>
          <w:p>
            <w:pPr>
              <w:pStyle w:val="TableParagraph"/>
              <w:rPr>
                <w:sz w:val="19"/>
              </w:rPr>
            </w:pPr>
            <w:r>
              <w:rPr>
                <w:color w:val="202020"/>
                <w:sz w:val="19"/>
              </w:rPr>
              <w:t>Compounds containing an unfused pyridine ring, other than pyridine and piperidine</w:t>
            </w:r>
          </w:p>
        </w:tc>
        <w:tc>
          <w:tcPr>
            <w:tcW w:w="2570" w:type="dxa"/>
            <w:tcBorders>
              <w:right w:val="nil"/>
            </w:tcBorders>
          </w:tcPr>
          <w:p>
            <w:pPr>
              <w:pStyle w:val="TableParagraph"/>
              <w:rPr>
                <w:sz w:val="19"/>
              </w:rPr>
            </w:pPr>
            <w:r>
              <w:rPr>
                <w:color w:val="202020"/>
                <w:sz w:val="19"/>
              </w:rPr>
              <w:t>No</w:t>
            </w:r>
          </w:p>
        </w:tc>
      </w:tr>
      <w:tr>
        <w:trPr>
          <w:trHeight w:val="404" w:hRule="atLeast"/>
        </w:trPr>
        <w:tc>
          <w:tcPr>
            <w:tcW w:w="3862" w:type="dxa"/>
            <w:tcBorders>
              <w:left w:val="nil"/>
            </w:tcBorders>
          </w:tcPr>
          <w:p>
            <w:pPr>
              <w:pStyle w:val="TableParagraph"/>
              <w:rPr>
                <w:sz w:val="19"/>
              </w:rPr>
            </w:pPr>
            <w:r>
              <w:rPr>
                <w:color w:val="202020"/>
                <w:sz w:val="19"/>
              </w:rPr>
              <w:t>3002.90.00/08</w:t>
            </w:r>
          </w:p>
        </w:tc>
        <w:tc>
          <w:tcPr>
            <w:tcW w:w="9158" w:type="dxa"/>
          </w:tcPr>
          <w:p>
            <w:pPr>
              <w:pStyle w:val="TableParagraph"/>
              <w:rPr>
                <w:sz w:val="19"/>
              </w:rPr>
            </w:pPr>
            <w:r>
              <w:rPr>
                <w:color w:val="202020"/>
                <w:sz w:val="19"/>
              </w:rPr>
              <w:t>Saxitoxin, ricin and similar</w:t>
            </w:r>
          </w:p>
        </w:tc>
        <w:tc>
          <w:tcPr>
            <w:tcW w:w="2570" w:type="dxa"/>
            <w:tcBorders>
              <w:right w:val="nil"/>
            </w:tcBorders>
          </w:tcPr>
          <w:p>
            <w:pPr>
              <w:pStyle w:val="TableParagraph"/>
              <w:rPr>
                <w:sz w:val="19"/>
              </w:rPr>
            </w:pPr>
            <w:r>
              <w:rPr>
                <w:color w:val="202020"/>
                <w:sz w:val="19"/>
              </w:rPr>
              <w:t>No</w:t>
            </w:r>
          </w:p>
        </w:tc>
      </w:tr>
    </w:tbl>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2020-12-09T23:09:44Z</dcterms:created>
  <dcterms:modified xsi:type="dcterms:W3CDTF">2020-12-09T23:09:44Z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