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pict>
          <v:rect style="position:absolute;margin-left:547.137024pt;margin-top:562.018982pt;width:.677pt;height:4.982pt;mso-position-horizontal-relative:page;mso-position-vertical-relative:page;z-index:15728640" filled="true" fillcolor="#c8c8c8" stroked="false">
            <v:fill type="solid"/>
            <w10:wrap type="none"/>
          </v:rect>
        </w:pict>
      </w:r>
      <w:r>
        <w:rPr/>
        <w:pict>
          <v:rect style="position:absolute;margin-left:394.266022pt;margin-top:562.018982pt;width:.677pt;height:4.982pt;mso-position-horizontal-relative:page;mso-position-vertical-relative:page;z-index:15729152" filled="true" fillcolor="#c8c8c8" stroked="false">
            <v:fill type="solid"/>
            <w10:wrap type="none"/>
          </v:rect>
        </w:pict>
      </w:r>
      <w:r>
        <w:rPr/>
        <w:pict>
          <v:rect style="position:absolute;margin-left:92.583008pt;margin-top:562.018982pt;width:.676pt;height:4.982pt;mso-position-horizontal-relative:page;mso-position-vertical-relative:page;z-index:15729664" filled="true" fillcolor="#c8c8c8" stroked="false">
            <v:fill type="solid"/>
            <w10:wrap type="none"/>
          </v:rect>
        </w:pict>
      </w:r>
      <w:r>
        <w:rPr/>
        <w:pict>
          <v:rect style="position:absolute;margin-left:34.411362pt;margin-top:562.018921pt;width:.67642pt;height:4.981065pt;mso-position-horizontal-relative:page;mso-position-vertical-relative:page;z-index:15730176" filled="true" fillcolor="#000000" stroked="false">
            <v:fill type="solid"/>
            <w10:wrap type="none"/>
          </v:rect>
        </w:pict>
      </w:r>
      <w:r>
        <w:rPr>
          <w:color w:val="202020"/>
        </w:rPr>
        <w:t>Australian Customs Notice 1997 18</w:t>
      </w:r>
    </w:p>
    <w:p>
      <w:pPr>
        <w:spacing w:before="357"/>
        <w:ind w:left="108" w:right="0" w:firstLine="0"/>
        <w:jc w:val="left"/>
        <w:rPr>
          <w:b/>
          <w:sz w:val="32"/>
        </w:rPr>
      </w:pPr>
      <w:r>
        <w:rPr>
          <w:b/>
          <w:color w:val="202020"/>
          <w:sz w:val="32"/>
        </w:rPr>
        <w:t>EXCISE TARIFF ACT 1921 - SPIRITUOUS BEVERAGES</w:t>
      </w:r>
    </w:p>
    <w:p>
      <w:pPr>
        <w:pStyle w:val="BodyText"/>
        <w:spacing w:line="237" w:lineRule="auto" w:before="256"/>
        <w:ind w:left="108" w:right="174"/>
      </w:pPr>
      <w:r>
        <w:rPr/>
        <w:t>Following the decision of the Administrative Appeals Tribunal in the matter of Carlton and United Breweries and the CEO of Customs, there has been some uncertainty as to the ambit of sub-item 2(H) of the Excise Tariff Act 1921.</w:t>
      </w:r>
    </w:p>
    <w:p>
      <w:pPr>
        <w:pStyle w:val="BodyText"/>
        <w:spacing w:before="6"/>
        <w:rPr>
          <w:sz w:val="16"/>
        </w:rPr>
      </w:pPr>
    </w:p>
    <w:p>
      <w:pPr>
        <w:pStyle w:val="BodyText"/>
        <w:spacing w:line="237" w:lineRule="auto"/>
        <w:ind w:left="108" w:right="1233"/>
      </w:pPr>
      <w:r>
        <w:rPr/>
        <w:t>So as to remove this uncertainty a Notice of Intention to propose an Excise Tariff alteration in accordance with section 160B of the Excise Act 1901 was published in Special Commonwealth Gazette No. S41 on 3 February 1997. The proposed alteration took effect on and from that date in accordance with section 160B.</w:t>
      </w:r>
    </w:p>
    <w:p>
      <w:pPr>
        <w:pStyle w:val="BodyText"/>
        <w:spacing w:before="4"/>
        <w:rPr>
          <w:sz w:val="16"/>
        </w:rPr>
      </w:pPr>
    </w:p>
    <w:p>
      <w:pPr>
        <w:pStyle w:val="BodyText"/>
        <w:ind w:left="108"/>
      </w:pPr>
      <w:r>
        <w:rPr/>
        <w:t>The Gazette Notice amends the Schedule to the Excise Tariff Act 1921 to:</w:t>
      </w:r>
    </w:p>
    <w:p>
      <w:pPr>
        <w:pStyle w:val="BodyText"/>
        <w:spacing w:before="3"/>
        <w:rPr>
          <w:sz w:val="16"/>
        </w:rPr>
      </w:pPr>
    </w:p>
    <w:p>
      <w:pPr>
        <w:pStyle w:val="ListParagraph"/>
        <w:numPr>
          <w:ilvl w:val="0"/>
          <w:numId w:val="1"/>
        </w:numPr>
        <w:tabs>
          <w:tab w:pos="330" w:val="left" w:leader="none"/>
        </w:tabs>
        <w:spacing w:line="240" w:lineRule="auto" w:before="0" w:after="0"/>
        <w:ind w:left="329" w:right="0" w:hanging="222"/>
        <w:jc w:val="left"/>
        <w:rPr>
          <w:sz w:val="19"/>
        </w:rPr>
      </w:pPr>
      <w:r>
        <w:rPr>
          <w:sz w:val="19"/>
        </w:rPr>
        <w:t>delete all references to "spirituous beverage" in the Schedule and Item 2;</w:t>
      </w:r>
      <w:r>
        <w:rPr>
          <w:spacing w:val="-14"/>
          <w:sz w:val="19"/>
        </w:rPr>
        <w:t> </w:t>
      </w:r>
      <w:r>
        <w:rPr>
          <w:sz w:val="19"/>
        </w:rPr>
        <w:t>and</w:t>
      </w:r>
    </w:p>
    <w:p>
      <w:pPr>
        <w:pStyle w:val="BodyText"/>
        <w:spacing w:before="5"/>
        <w:rPr>
          <w:sz w:val="16"/>
        </w:rPr>
      </w:pPr>
    </w:p>
    <w:p>
      <w:pPr>
        <w:pStyle w:val="ListParagraph"/>
        <w:numPr>
          <w:ilvl w:val="0"/>
          <w:numId w:val="1"/>
        </w:numPr>
        <w:tabs>
          <w:tab w:pos="372" w:val="left" w:leader="none"/>
        </w:tabs>
        <w:spacing w:line="237" w:lineRule="auto" w:before="0" w:after="0"/>
        <w:ind w:left="108" w:right="392" w:firstLine="0"/>
        <w:jc w:val="left"/>
        <w:rPr>
          <w:sz w:val="19"/>
        </w:rPr>
      </w:pPr>
      <w:r>
        <w:rPr>
          <w:sz w:val="19"/>
        </w:rPr>
        <w:t>substitute</w:t>
      </w:r>
      <w:r>
        <w:rPr>
          <w:spacing w:val="-3"/>
          <w:sz w:val="19"/>
        </w:rPr>
        <w:t> </w:t>
      </w:r>
      <w:r>
        <w:rPr>
          <w:sz w:val="19"/>
        </w:rPr>
        <w:t>a</w:t>
      </w:r>
      <w:r>
        <w:rPr>
          <w:spacing w:val="-3"/>
          <w:sz w:val="19"/>
        </w:rPr>
        <w:t> </w:t>
      </w:r>
      <w:r>
        <w:rPr>
          <w:sz w:val="19"/>
        </w:rPr>
        <w:t>new</w:t>
      </w:r>
      <w:r>
        <w:rPr>
          <w:spacing w:val="-3"/>
          <w:sz w:val="19"/>
        </w:rPr>
        <w:t> </w:t>
      </w:r>
      <w:r>
        <w:rPr>
          <w:sz w:val="19"/>
        </w:rPr>
        <w:t>item</w:t>
      </w:r>
      <w:r>
        <w:rPr>
          <w:spacing w:val="-3"/>
          <w:sz w:val="19"/>
        </w:rPr>
        <w:t> </w:t>
      </w:r>
      <w:r>
        <w:rPr>
          <w:sz w:val="19"/>
        </w:rPr>
        <w:t>2</w:t>
      </w:r>
      <w:r>
        <w:rPr>
          <w:spacing w:val="-3"/>
          <w:sz w:val="19"/>
        </w:rPr>
        <w:t> </w:t>
      </w:r>
      <w:r>
        <w:rPr>
          <w:sz w:val="19"/>
        </w:rPr>
        <w:t>to</w:t>
      </w:r>
      <w:r>
        <w:rPr>
          <w:spacing w:val="-3"/>
          <w:sz w:val="19"/>
        </w:rPr>
        <w:t> </w:t>
      </w:r>
      <w:r>
        <w:rPr>
          <w:sz w:val="19"/>
        </w:rPr>
        <w:t>ensure</w:t>
      </w:r>
      <w:r>
        <w:rPr>
          <w:spacing w:val="-3"/>
          <w:sz w:val="19"/>
        </w:rPr>
        <w:t> </w:t>
      </w:r>
      <w:r>
        <w:rPr>
          <w:sz w:val="19"/>
        </w:rPr>
        <w:t>that</w:t>
      </w:r>
      <w:r>
        <w:rPr>
          <w:spacing w:val="-3"/>
          <w:sz w:val="19"/>
        </w:rPr>
        <w:t> </w:t>
      </w:r>
      <w:r>
        <w:rPr>
          <w:sz w:val="19"/>
        </w:rPr>
        <w:t>excise</w:t>
      </w:r>
      <w:r>
        <w:rPr>
          <w:spacing w:val="-3"/>
          <w:sz w:val="19"/>
        </w:rPr>
        <w:t> </w:t>
      </w:r>
      <w:r>
        <w:rPr>
          <w:sz w:val="19"/>
        </w:rPr>
        <w:t>duty</w:t>
      </w:r>
      <w:r>
        <w:rPr>
          <w:spacing w:val="-3"/>
          <w:sz w:val="19"/>
        </w:rPr>
        <w:t> </w:t>
      </w:r>
      <w:r>
        <w:rPr>
          <w:sz w:val="19"/>
        </w:rPr>
        <w:t>continues</w:t>
      </w:r>
      <w:r>
        <w:rPr>
          <w:spacing w:val="-2"/>
          <w:sz w:val="19"/>
        </w:rPr>
        <w:t> </w:t>
      </w:r>
      <w:r>
        <w:rPr>
          <w:sz w:val="19"/>
        </w:rPr>
        <w:t>to</w:t>
      </w:r>
      <w:r>
        <w:rPr>
          <w:spacing w:val="-3"/>
          <w:sz w:val="19"/>
        </w:rPr>
        <w:t> </w:t>
      </w:r>
      <w:r>
        <w:rPr>
          <w:sz w:val="19"/>
        </w:rPr>
        <w:t>be</w:t>
      </w:r>
      <w:r>
        <w:rPr>
          <w:spacing w:val="-3"/>
          <w:sz w:val="19"/>
        </w:rPr>
        <w:t> </w:t>
      </w:r>
      <w:r>
        <w:rPr>
          <w:sz w:val="19"/>
        </w:rPr>
        <w:t>imposed</w:t>
      </w:r>
      <w:r>
        <w:rPr>
          <w:spacing w:val="-3"/>
          <w:sz w:val="19"/>
        </w:rPr>
        <w:t> </w:t>
      </w:r>
      <w:r>
        <w:rPr>
          <w:sz w:val="19"/>
        </w:rPr>
        <w:t>on</w:t>
      </w:r>
      <w:r>
        <w:rPr>
          <w:spacing w:val="-3"/>
          <w:sz w:val="19"/>
        </w:rPr>
        <w:t> </w:t>
      </w:r>
      <w:r>
        <w:rPr>
          <w:sz w:val="19"/>
        </w:rPr>
        <w:t>all</w:t>
      </w:r>
      <w:r>
        <w:rPr>
          <w:spacing w:val="-3"/>
          <w:sz w:val="19"/>
        </w:rPr>
        <w:t> </w:t>
      </w:r>
      <w:r>
        <w:rPr>
          <w:sz w:val="19"/>
        </w:rPr>
        <w:t>spirits</w:t>
      </w:r>
      <w:r>
        <w:rPr>
          <w:spacing w:val="-3"/>
          <w:sz w:val="19"/>
        </w:rPr>
        <w:t> </w:t>
      </w:r>
      <w:r>
        <w:rPr>
          <w:sz w:val="19"/>
        </w:rPr>
        <w:t>and</w:t>
      </w:r>
      <w:r>
        <w:rPr>
          <w:spacing w:val="-3"/>
          <w:sz w:val="19"/>
        </w:rPr>
        <w:t> </w:t>
      </w:r>
      <w:r>
        <w:rPr>
          <w:sz w:val="19"/>
        </w:rPr>
        <w:t>beverages</w:t>
      </w:r>
      <w:r>
        <w:rPr>
          <w:spacing w:val="-3"/>
          <w:sz w:val="19"/>
        </w:rPr>
        <w:t> </w:t>
      </w:r>
      <w:r>
        <w:rPr>
          <w:sz w:val="19"/>
        </w:rPr>
        <w:t>containing</w:t>
      </w:r>
      <w:r>
        <w:rPr>
          <w:spacing w:val="-3"/>
          <w:sz w:val="19"/>
        </w:rPr>
        <w:t> </w:t>
      </w:r>
      <w:r>
        <w:rPr>
          <w:sz w:val="19"/>
        </w:rPr>
        <w:t>distilled</w:t>
      </w:r>
      <w:r>
        <w:rPr>
          <w:spacing w:val="-2"/>
          <w:sz w:val="19"/>
        </w:rPr>
        <w:t> </w:t>
      </w:r>
      <w:r>
        <w:rPr>
          <w:sz w:val="19"/>
        </w:rPr>
        <w:t>alcohol.</w:t>
      </w:r>
      <w:r>
        <w:rPr>
          <w:spacing w:val="-3"/>
          <w:sz w:val="19"/>
        </w:rPr>
        <w:t> </w:t>
      </w:r>
      <w:r>
        <w:rPr>
          <w:sz w:val="19"/>
        </w:rPr>
        <w:t>In</w:t>
      </w:r>
      <w:r>
        <w:rPr>
          <w:spacing w:val="-3"/>
          <w:sz w:val="19"/>
        </w:rPr>
        <w:t> </w:t>
      </w:r>
      <w:r>
        <w:rPr>
          <w:sz w:val="19"/>
        </w:rPr>
        <w:t>particular,</w:t>
      </w:r>
      <w:r>
        <w:rPr>
          <w:spacing w:val="-3"/>
          <w:sz w:val="19"/>
        </w:rPr>
        <w:t> </w:t>
      </w:r>
      <w:r>
        <w:rPr>
          <w:sz w:val="19"/>
        </w:rPr>
        <w:t>new</w:t>
      </w:r>
      <w:r>
        <w:rPr>
          <w:spacing w:val="-3"/>
          <w:sz w:val="19"/>
        </w:rPr>
        <w:t> </w:t>
      </w:r>
      <w:r>
        <w:rPr>
          <w:sz w:val="19"/>
        </w:rPr>
        <w:t>sub-item</w:t>
      </w:r>
      <w:r>
        <w:rPr>
          <w:spacing w:val="-3"/>
          <w:sz w:val="19"/>
        </w:rPr>
        <w:t> </w:t>
      </w:r>
      <w:r>
        <w:rPr>
          <w:sz w:val="19"/>
        </w:rPr>
        <w:t>2(H)</w:t>
      </w:r>
      <w:r>
        <w:rPr>
          <w:spacing w:val="-3"/>
          <w:sz w:val="19"/>
        </w:rPr>
        <w:t> </w:t>
      </w:r>
      <w:r>
        <w:rPr>
          <w:sz w:val="19"/>
        </w:rPr>
        <w:t>makes</w:t>
      </w:r>
      <w:r>
        <w:rPr>
          <w:spacing w:val="-3"/>
          <w:sz w:val="19"/>
        </w:rPr>
        <w:t> </w:t>
      </w:r>
      <w:r>
        <w:rPr>
          <w:sz w:val="19"/>
        </w:rPr>
        <w:t>excisable all beverages containing distilled alcohol, n.e.i., regardless of the alcohol</w:t>
      </w:r>
      <w:r>
        <w:rPr>
          <w:spacing w:val="-12"/>
          <w:sz w:val="19"/>
        </w:rPr>
        <w:t> </w:t>
      </w:r>
      <w:r>
        <w:rPr>
          <w:sz w:val="19"/>
        </w:rPr>
        <w:t>content.</w:t>
      </w:r>
    </w:p>
    <w:p>
      <w:pPr>
        <w:pStyle w:val="BodyText"/>
        <w:spacing w:before="6"/>
        <w:rPr>
          <w:sz w:val="16"/>
        </w:rPr>
      </w:pPr>
    </w:p>
    <w:p>
      <w:pPr>
        <w:pStyle w:val="BodyText"/>
        <w:spacing w:line="237" w:lineRule="auto"/>
        <w:ind w:left="108" w:right="114"/>
      </w:pPr>
      <w:r>
        <w:rPr/>
        <w:t>As was the case prior to the Notice, fortified wines and fortified wine based beverages are not subject to excise duty. However, if spirit is added to a fortified wine then the added spirit will be liable for the relevant duty.</w:t>
      </w:r>
    </w:p>
    <w:p>
      <w:pPr>
        <w:pStyle w:val="BodyText"/>
        <w:spacing w:before="6"/>
        <w:rPr>
          <w:sz w:val="16"/>
        </w:rPr>
      </w:pPr>
    </w:p>
    <w:p>
      <w:pPr>
        <w:pStyle w:val="BodyText"/>
        <w:spacing w:line="237" w:lineRule="auto"/>
        <w:ind w:left="108" w:right="673"/>
      </w:pPr>
      <w:r>
        <w:rPr/>
        <w:t>It should also be noted that pre-mixed beverages containing brandy are now subject to excise duty on the brandy content at the excise rate for brandy, currently $31.59 per litre of distilled alcohol. This changes the previous arrangement where pre-mixed beverages containing brandy paid the general spirit excise duty rate (currently $36.99 per litre of distilled alcohol).</w:t>
      </w:r>
    </w:p>
    <w:p>
      <w:pPr>
        <w:pStyle w:val="BodyText"/>
        <w:spacing w:before="5"/>
        <w:rPr>
          <w:sz w:val="16"/>
        </w:rPr>
      </w:pPr>
    </w:p>
    <w:p>
      <w:pPr>
        <w:pStyle w:val="BodyText"/>
        <w:spacing w:line="237" w:lineRule="auto" w:before="1"/>
        <w:ind w:left="108" w:right="673"/>
      </w:pPr>
      <w:r>
        <w:rPr/>
        <w:t>When preparing Excise entries (Nature 40) for pre-mixed beverages containing </w:t>
      </w:r>
      <w:r>
        <w:rPr>
          <w:spacing w:val="-3"/>
        </w:rPr>
        <w:t>brandy, </w:t>
      </w:r>
      <w:r>
        <w:rPr/>
        <w:t>the relevant excise duty rate will be applied under Excise </w:t>
      </w:r>
      <w:r>
        <w:rPr>
          <w:spacing w:val="-5"/>
        </w:rPr>
        <w:t>Tariff </w:t>
      </w:r>
      <w:r>
        <w:rPr/>
        <w:t>Item 2H, Stat. Code 63 by inserting in the Additional Information Field on the entry - 'Additional </w:t>
      </w:r>
      <w:r>
        <w:rPr>
          <w:spacing w:val="-5"/>
        </w:rPr>
        <w:t>Tariff </w:t>
      </w:r>
      <w:r>
        <w:rPr/>
        <w:t>Item 2A'.</w:t>
      </w:r>
    </w:p>
    <w:p>
      <w:pPr>
        <w:pStyle w:val="BodyText"/>
        <w:spacing w:before="5"/>
        <w:rPr>
          <w:sz w:val="16"/>
        </w:rPr>
      </w:pPr>
    </w:p>
    <w:p>
      <w:pPr>
        <w:pStyle w:val="BodyText"/>
        <w:spacing w:line="237" w:lineRule="auto"/>
        <w:ind w:left="108" w:right="174"/>
      </w:pPr>
      <w:r>
        <w:rPr>
          <w:spacing w:val="-11"/>
        </w:rPr>
        <w:t>To </w:t>
      </w:r>
      <w:r>
        <w:rPr/>
        <w:t>assist in the preparation of entries, listed below are the new Excise </w:t>
      </w:r>
      <w:r>
        <w:rPr>
          <w:spacing w:val="-5"/>
        </w:rPr>
        <w:t>Tariff </w:t>
      </w:r>
      <w:r>
        <w:rPr/>
        <w:t>sub-items 2G, 2H and 2O and the new Statistical Codes allocated by the Australian Bureau of Statistics. There are no changes to the other sub-items or statistical codes in Item 2.</w:t>
      </w:r>
    </w:p>
    <w:p>
      <w:pPr>
        <w:pStyle w:val="BodyText"/>
        <w:spacing w:before="7"/>
        <w:rPr>
          <w:sz w:val="16"/>
        </w:rPr>
      </w:pP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163"/>
        <w:gridCol w:w="6033"/>
        <w:gridCol w:w="3057"/>
        <w:gridCol w:w="5330"/>
      </w:tblGrid>
      <w:tr>
        <w:trPr>
          <w:trHeight w:val="593" w:hRule="atLeast"/>
        </w:trPr>
        <w:tc>
          <w:tcPr>
            <w:tcW w:w="1163" w:type="dxa"/>
            <w:tcBorders>
              <w:left w:val="single" w:sz="6" w:space="0" w:color="000000"/>
            </w:tcBorders>
          </w:tcPr>
          <w:p>
            <w:pPr>
              <w:pStyle w:val="TableParagraph"/>
              <w:ind w:left="100"/>
              <w:rPr>
                <w:sz w:val="19"/>
              </w:rPr>
            </w:pPr>
            <w:r>
              <w:rPr>
                <w:color w:val="202020"/>
                <w:sz w:val="19"/>
              </w:rPr>
              <w:t>Item</w:t>
            </w:r>
          </w:p>
        </w:tc>
        <w:tc>
          <w:tcPr>
            <w:tcW w:w="6033" w:type="dxa"/>
          </w:tcPr>
          <w:p>
            <w:pPr>
              <w:pStyle w:val="TableParagraph"/>
              <w:rPr>
                <w:sz w:val="19"/>
              </w:rPr>
            </w:pPr>
            <w:r>
              <w:rPr>
                <w:color w:val="202020"/>
                <w:sz w:val="19"/>
              </w:rPr>
              <w:t>Description</w:t>
            </w:r>
          </w:p>
        </w:tc>
        <w:tc>
          <w:tcPr>
            <w:tcW w:w="3057" w:type="dxa"/>
          </w:tcPr>
          <w:p>
            <w:pPr>
              <w:pStyle w:val="TableParagraph"/>
              <w:rPr>
                <w:sz w:val="19"/>
              </w:rPr>
            </w:pPr>
            <w:r>
              <w:rPr>
                <w:color w:val="202020"/>
                <w:sz w:val="19"/>
              </w:rPr>
              <w:t>Statistical Code</w:t>
            </w:r>
          </w:p>
        </w:tc>
        <w:tc>
          <w:tcPr>
            <w:tcW w:w="5330" w:type="dxa"/>
            <w:tcBorders>
              <w:right w:val="nil"/>
            </w:tcBorders>
          </w:tcPr>
          <w:p>
            <w:pPr>
              <w:pStyle w:val="TableParagraph"/>
              <w:ind w:left="102"/>
              <w:rPr>
                <w:sz w:val="19"/>
              </w:rPr>
            </w:pPr>
            <w:r>
              <w:rPr>
                <w:color w:val="202020"/>
                <w:sz w:val="19"/>
              </w:rPr>
              <w:t>Product</w:t>
            </w:r>
          </w:p>
        </w:tc>
      </w:tr>
      <w:tr>
        <w:trPr>
          <w:trHeight w:val="593" w:hRule="atLeast"/>
        </w:trPr>
        <w:tc>
          <w:tcPr>
            <w:tcW w:w="1163" w:type="dxa"/>
            <w:tcBorders>
              <w:left w:val="single" w:sz="6" w:space="0" w:color="000000"/>
            </w:tcBorders>
          </w:tcPr>
          <w:p>
            <w:pPr>
              <w:pStyle w:val="TableParagraph"/>
              <w:ind w:left="100"/>
              <w:rPr>
                <w:sz w:val="19"/>
              </w:rPr>
            </w:pPr>
            <w:r>
              <w:rPr>
                <w:color w:val="202020"/>
                <w:sz w:val="19"/>
              </w:rPr>
              <w:t>2G</w:t>
            </w:r>
          </w:p>
        </w:tc>
        <w:tc>
          <w:tcPr>
            <w:tcW w:w="6033" w:type="dxa"/>
          </w:tcPr>
          <w:p>
            <w:pPr>
              <w:pStyle w:val="TableParagraph"/>
              <w:rPr>
                <w:sz w:val="19"/>
              </w:rPr>
            </w:pPr>
            <w:r>
              <w:rPr>
                <w:color w:val="202020"/>
                <w:sz w:val="19"/>
              </w:rPr>
              <w:t>Liqueurs</w:t>
            </w:r>
          </w:p>
        </w:tc>
        <w:tc>
          <w:tcPr>
            <w:tcW w:w="3057" w:type="dxa"/>
          </w:tcPr>
          <w:p>
            <w:pPr>
              <w:pStyle w:val="TableParagraph"/>
              <w:rPr>
                <w:sz w:val="19"/>
              </w:rPr>
            </w:pPr>
            <w:r>
              <w:rPr>
                <w:color w:val="202020"/>
                <w:sz w:val="19"/>
              </w:rPr>
              <w:t>59</w:t>
            </w:r>
          </w:p>
        </w:tc>
        <w:tc>
          <w:tcPr>
            <w:tcW w:w="5330" w:type="dxa"/>
            <w:tcBorders>
              <w:right w:val="nil"/>
            </w:tcBorders>
          </w:tcPr>
          <w:p>
            <w:pPr>
              <w:pStyle w:val="TableParagraph"/>
              <w:ind w:left="102"/>
              <w:rPr>
                <w:sz w:val="19"/>
              </w:rPr>
            </w:pPr>
            <w:r>
              <w:rPr>
                <w:color w:val="202020"/>
                <w:sz w:val="19"/>
              </w:rPr>
              <w:t>Liqueurs</w:t>
            </w:r>
          </w:p>
        </w:tc>
      </w:tr>
      <w:tr>
        <w:trPr>
          <w:trHeight w:val="593" w:hRule="atLeast"/>
        </w:trPr>
        <w:tc>
          <w:tcPr>
            <w:tcW w:w="1163" w:type="dxa"/>
            <w:tcBorders>
              <w:left w:val="single" w:sz="6" w:space="0" w:color="000000"/>
            </w:tcBorders>
          </w:tcPr>
          <w:p>
            <w:pPr>
              <w:pStyle w:val="TableParagraph"/>
              <w:ind w:left="100"/>
              <w:rPr>
                <w:sz w:val="19"/>
              </w:rPr>
            </w:pPr>
            <w:r>
              <w:rPr>
                <w:color w:val="202020"/>
                <w:sz w:val="19"/>
              </w:rPr>
              <w:t>2H</w:t>
            </w:r>
          </w:p>
        </w:tc>
        <w:tc>
          <w:tcPr>
            <w:tcW w:w="6033" w:type="dxa"/>
          </w:tcPr>
          <w:p>
            <w:pPr>
              <w:pStyle w:val="TableParagraph"/>
              <w:rPr>
                <w:sz w:val="19"/>
              </w:rPr>
            </w:pPr>
            <w:r>
              <w:rPr>
                <w:color w:val="202020"/>
                <w:sz w:val="19"/>
              </w:rPr>
              <w:t>Beverages (other than beverages</w:t>
            </w:r>
          </w:p>
        </w:tc>
        <w:tc>
          <w:tcPr>
            <w:tcW w:w="3057" w:type="dxa"/>
          </w:tcPr>
          <w:p>
            <w:pPr>
              <w:pStyle w:val="TableParagraph"/>
              <w:rPr>
                <w:sz w:val="19"/>
              </w:rPr>
            </w:pPr>
            <w:r>
              <w:rPr>
                <w:color w:val="202020"/>
                <w:sz w:val="19"/>
              </w:rPr>
              <w:t>60</w:t>
            </w:r>
          </w:p>
        </w:tc>
        <w:tc>
          <w:tcPr>
            <w:tcW w:w="5330" w:type="dxa"/>
            <w:tcBorders>
              <w:right w:val="nil"/>
            </w:tcBorders>
          </w:tcPr>
          <w:p>
            <w:pPr>
              <w:pStyle w:val="TableParagraph"/>
              <w:ind w:left="102"/>
              <w:rPr>
                <w:sz w:val="19"/>
              </w:rPr>
            </w:pPr>
            <w:r>
              <w:rPr>
                <w:color w:val="202020"/>
                <w:sz w:val="19"/>
              </w:rPr>
              <w:t>Vodka</w:t>
            </w:r>
          </w:p>
        </w:tc>
      </w:tr>
      <w:tr>
        <w:trPr>
          <w:trHeight w:val="593" w:hRule="atLeast"/>
        </w:trPr>
        <w:tc>
          <w:tcPr>
            <w:tcW w:w="1163" w:type="dxa"/>
            <w:tcBorders>
              <w:left w:val="single" w:sz="6" w:space="0" w:color="000000"/>
            </w:tcBorders>
          </w:tcPr>
          <w:p>
            <w:pPr>
              <w:pStyle w:val="TableParagraph"/>
              <w:spacing w:before="0"/>
              <w:ind w:left="0"/>
              <w:rPr>
                <w:rFonts w:ascii="Times New Roman"/>
                <w:sz w:val="18"/>
              </w:rPr>
            </w:pPr>
          </w:p>
        </w:tc>
        <w:tc>
          <w:tcPr>
            <w:tcW w:w="6033" w:type="dxa"/>
          </w:tcPr>
          <w:p>
            <w:pPr>
              <w:pStyle w:val="TableParagraph"/>
              <w:rPr>
                <w:sz w:val="19"/>
              </w:rPr>
            </w:pPr>
            <w:r>
              <w:rPr>
                <w:color w:val="202020"/>
                <w:sz w:val="19"/>
              </w:rPr>
              <w:t>comprised solely of fortified wine)</w:t>
            </w:r>
          </w:p>
        </w:tc>
        <w:tc>
          <w:tcPr>
            <w:tcW w:w="3057" w:type="dxa"/>
          </w:tcPr>
          <w:p>
            <w:pPr>
              <w:pStyle w:val="TableParagraph"/>
              <w:rPr>
                <w:sz w:val="19"/>
              </w:rPr>
            </w:pPr>
            <w:r>
              <w:rPr>
                <w:color w:val="202020"/>
                <w:sz w:val="19"/>
              </w:rPr>
              <w:t>61</w:t>
            </w:r>
          </w:p>
        </w:tc>
        <w:tc>
          <w:tcPr>
            <w:tcW w:w="5330" w:type="dxa"/>
            <w:tcBorders>
              <w:right w:val="nil"/>
            </w:tcBorders>
          </w:tcPr>
          <w:p>
            <w:pPr>
              <w:pStyle w:val="TableParagraph"/>
              <w:ind w:left="102"/>
              <w:rPr>
                <w:sz w:val="19"/>
              </w:rPr>
            </w:pPr>
            <w:r>
              <w:rPr>
                <w:color w:val="202020"/>
                <w:sz w:val="19"/>
              </w:rPr>
              <w:t>Ouzo</w:t>
            </w:r>
          </w:p>
        </w:tc>
      </w:tr>
      <w:tr>
        <w:trPr>
          <w:trHeight w:val="593" w:hRule="atLeast"/>
        </w:trPr>
        <w:tc>
          <w:tcPr>
            <w:tcW w:w="1163" w:type="dxa"/>
            <w:tcBorders>
              <w:left w:val="single" w:sz="6" w:space="0" w:color="000000"/>
            </w:tcBorders>
          </w:tcPr>
          <w:p>
            <w:pPr>
              <w:pStyle w:val="TableParagraph"/>
              <w:spacing w:before="0"/>
              <w:ind w:left="0"/>
              <w:rPr>
                <w:rFonts w:ascii="Times New Roman"/>
                <w:sz w:val="18"/>
              </w:rPr>
            </w:pPr>
          </w:p>
        </w:tc>
        <w:tc>
          <w:tcPr>
            <w:tcW w:w="6033" w:type="dxa"/>
          </w:tcPr>
          <w:p>
            <w:pPr>
              <w:pStyle w:val="TableParagraph"/>
              <w:rPr>
                <w:sz w:val="19"/>
              </w:rPr>
            </w:pPr>
            <w:r>
              <w:rPr>
                <w:color w:val="202020"/>
                <w:sz w:val="19"/>
              </w:rPr>
              <w:t>containing distilled alcohol, n.e.i.</w:t>
            </w:r>
          </w:p>
        </w:tc>
        <w:tc>
          <w:tcPr>
            <w:tcW w:w="3057" w:type="dxa"/>
          </w:tcPr>
          <w:p>
            <w:pPr>
              <w:pStyle w:val="TableParagraph"/>
              <w:rPr>
                <w:sz w:val="19"/>
              </w:rPr>
            </w:pPr>
            <w:r>
              <w:rPr>
                <w:color w:val="202020"/>
                <w:sz w:val="19"/>
              </w:rPr>
              <w:t>62</w:t>
            </w:r>
          </w:p>
        </w:tc>
        <w:tc>
          <w:tcPr>
            <w:tcW w:w="5330" w:type="dxa"/>
            <w:tcBorders>
              <w:right w:val="nil"/>
            </w:tcBorders>
          </w:tcPr>
          <w:p>
            <w:pPr>
              <w:pStyle w:val="TableParagraph"/>
              <w:ind w:left="102"/>
              <w:rPr>
                <w:sz w:val="19"/>
              </w:rPr>
            </w:pPr>
            <w:r>
              <w:rPr>
                <w:color w:val="202020"/>
                <w:sz w:val="19"/>
              </w:rPr>
              <w:t>Gin</w:t>
            </w:r>
          </w:p>
        </w:tc>
      </w:tr>
      <w:tr>
        <w:trPr>
          <w:trHeight w:val="593" w:hRule="atLeast"/>
        </w:trPr>
        <w:tc>
          <w:tcPr>
            <w:tcW w:w="1163" w:type="dxa"/>
            <w:tcBorders>
              <w:left w:val="single" w:sz="6" w:space="0" w:color="000000"/>
            </w:tcBorders>
          </w:tcPr>
          <w:p>
            <w:pPr>
              <w:pStyle w:val="TableParagraph"/>
              <w:spacing w:before="0"/>
              <w:ind w:left="0"/>
              <w:rPr>
                <w:rFonts w:ascii="Times New Roman"/>
                <w:sz w:val="18"/>
              </w:rPr>
            </w:pPr>
          </w:p>
        </w:tc>
        <w:tc>
          <w:tcPr>
            <w:tcW w:w="6033" w:type="dxa"/>
          </w:tcPr>
          <w:p>
            <w:pPr>
              <w:pStyle w:val="TableParagraph"/>
              <w:spacing w:before="0"/>
              <w:ind w:left="0"/>
              <w:rPr>
                <w:rFonts w:ascii="Times New Roman"/>
                <w:sz w:val="18"/>
              </w:rPr>
            </w:pPr>
          </w:p>
        </w:tc>
        <w:tc>
          <w:tcPr>
            <w:tcW w:w="3057" w:type="dxa"/>
          </w:tcPr>
          <w:p>
            <w:pPr>
              <w:pStyle w:val="TableParagraph"/>
              <w:rPr>
                <w:sz w:val="19"/>
              </w:rPr>
            </w:pPr>
            <w:r>
              <w:rPr>
                <w:color w:val="202020"/>
                <w:sz w:val="19"/>
              </w:rPr>
              <w:t>63</w:t>
            </w:r>
          </w:p>
        </w:tc>
        <w:tc>
          <w:tcPr>
            <w:tcW w:w="5330" w:type="dxa"/>
            <w:tcBorders>
              <w:right w:val="nil"/>
            </w:tcBorders>
          </w:tcPr>
          <w:p>
            <w:pPr>
              <w:pStyle w:val="TableParagraph"/>
              <w:ind w:left="102"/>
              <w:rPr>
                <w:sz w:val="19"/>
              </w:rPr>
            </w:pPr>
            <w:r>
              <w:rPr>
                <w:color w:val="202020"/>
                <w:sz w:val="19"/>
              </w:rPr>
              <w:t>Beverages containing brandy</w:t>
            </w:r>
          </w:p>
        </w:tc>
      </w:tr>
    </w:tbl>
    <w:p>
      <w:pPr>
        <w:spacing w:after="0"/>
        <w:rPr>
          <w:sz w:val="19"/>
        </w:rPr>
        <w:sectPr>
          <w:type w:val="continuous"/>
          <w:pgSz w:w="16840" w:h="11900" w:orient="landscape"/>
          <w:pgMar w:top="680" w:bottom="280" w:left="580" w:right="440"/>
        </w:sectPr>
      </w:pPr>
    </w:p>
    <w:tbl>
      <w:tblPr>
        <w:tblW w:w="0" w:type="auto"/>
        <w:jc w:val="left"/>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63"/>
        <w:gridCol w:w="6033"/>
        <w:gridCol w:w="3057"/>
        <w:gridCol w:w="5330"/>
      </w:tblGrid>
      <w:tr>
        <w:trPr>
          <w:trHeight w:val="499" w:hRule="atLeast"/>
        </w:trPr>
        <w:tc>
          <w:tcPr>
            <w:tcW w:w="1163" w:type="dxa"/>
            <w:tcBorders>
              <w:top w:val="nil"/>
              <w:bottom w:val="single" w:sz="6" w:space="0" w:color="C8C8C8"/>
              <w:right w:val="single" w:sz="6" w:space="0" w:color="C8C8C8"/>
            </w:tcBorders>
          </w:tcPr>
          <w:p>
            <w:pPr>
              <w:pStyle w:val="TableParagraph"/>
              <w:spacing w:before="0"/>
              <w:ind w:left="0"/>
              <w:rPr>
                <w:rFonts w:ascii="Times New Roman"/>
                <w:sz w:val="18"/>
              </w:rPr>
            </w:pPr>
          </w:p>
        </w:tc>
        <w:tc>
          <w:tcPr>
            <w:tcW w:w="6033" w:type="dxa"/>
            <w:tcBorders>
              <w:top w:val="nil"/>
              <w:left w:val="single" w:sz="6" w:space="0" w:color="C8C8C8"/>
              <w:bottom w:val="single" w:sz="6" w:space="0" w:color="C8C8C8"/>
              <w:right w:val="single" w:sz="6" w:space="0" w:color="C8C8C8"/>
            </w:tcBorders>
          </w:tcPr>
          <w:p>
            <w:pPr>
              <w:pStyle w:val="TableParagraph"/>
              <w:spacing w:before="0"/>
              <w:ind w:left="0"/>
              <w:rPr>
                <w:rFonts w:ascii="Times New Roman"/>
                <w:sz w:val="18"/>
              </w:rPr>
            </w:pPr>
          </w:p>
        </w:tc>
        <w:tc>
          <w:tcPr>
            <w:tcW w:w="3057" w:type="dxa"/>
            <w:tcBorders>
              <w:top w:val="nil"/>
              <w:left w:val="single" w:sz="6" w:space="0" w:color="C8C8C8"/>
              <w:bottom w:val="single" w:sz="6" w:space="0" w:color="C8C8C8"/>
              <w:right w:val="single" w:sz="6" w:space="0" w:color="C8C8C8"/>
            </w:tcBorders>
          </w:tcPr>
          <w:p>
            <w:pPr>
              <w:pStyle w:val="TableParagraph"/>
              <w:spacing w:line="209" w:lineRule="exact" w:before="0"/>
              <w:rPr>
                <w:sz w:val="19"/>
              </w:rPr>
            </w:pPr>
            <w:r>
              <w:rPr>
                <w:color w:val="202020"/>
                <w:sz w:val="19"/>
              </w:rPr>
              <w:t>64</w:t>
            </w:r>
          </w:p>
        </w:tc>
        <w:tc>
          <w:tcPr>
            <w:tcW w:w="5330" w:type="dxa"/>
            <w:tcBorders>
              <w:top w:val="nil"/>
              <w:left w:val="single" w:sz="6" w:space="0" w:color="C8C8C8"/>
              <w:bottom w:val="single" w:sz="6" w:space="0" w:color="C8C8C8"/>
              <w:right w:val="nil"/>
            </w:tcBorders>
          </w:tcPr>
          <w:p>
            <w:pPr>
              <w:pStyle w:val="TableParagraph"/>
              <w:spacing w:line="209" w:lineRule="exact" w:before="0"/>
              <w:ind w:left="102"/>
              <w:rPr>
                <w:sz w:val="19"/>
              </w:rPr>
            </w:pPr>
            <w:r>
              <w:rPr>
                <w:color w:val="202020"/>
                <w:sz w:val="19"/>
              </w:rPr>
              <w:t>Other</w:t>
            </w:r>
          </w:p>
        </w:tc>
      </w:tr>
      <w:tr>
        <w:trPr>
          <w:trHeight w:val="593" w:hRule="atLeast"/>
        </w:trPr>
        <w:tc>
          <w:tcPr>
            <w:tcW w:w="1163" w:type="dxa"/>
            <w:tcBorders>
              <w:top w:val="single" w:sz="6" w:space="0" w:color="C8C8C8"/>
              <w:bottom w:val="single" w:sz="6" w:space="0" w:color="C8C8C8"/>
              <w:right w:val="single" w:sz="6" w:space="0" w:color="C8C8C8"/>
            </w:tcBorders>
          </w:tcPr>
          <w:p>
            <w:pPr>
              <w:pStyle w:val="TableParagraph"/>
              <w:spacing w:before="85"/>
              <w:ind w:left="100"/>
              <w:rPr>
                <w:sz w:val="19"/>
              </w:rPr>
            </w:pPr>
            <w:r>
              <w:rPr>
                <w:color w:val="202020"/>
                <w:sz w:val="19"/>
              </w:rPr>
              <w:t>2O</w:t>
            </w:r>
          </w:p>
        </w:tc>
        <w:tc>
          <w:tcPr>
            <w:tcW w:w="6033"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Non potable spirits, n.e.i.</w:t>
            </w:r>
          </w:p>
        </w:tc>
        <w:tc>
          <w:tcPr>
            <w:tcW w:w="3057" w:type="dxa"/>
            <w:tcBorders>
              <w:top w:val="single" w:sz="6" w:space="0" w:color="C8C8C8"/>
              <w:left w:val="single" w:sz="6" w:space="0" w:color="C8C8C8"/>
              <w:bottom w:val="single" w:sz="6" w:space="0" w:color="C8C8C8"/>
              <w:right w:val="single" w:sz="6" w:space="0" w:color="C8C8C8"/>
            </w:tcBorders>
          </w:tcPr>
          <w:p>
            <w:pPr>
              <w:pStyle w:val="TableParagraph"/>
              <w:spacing w:before="85"/>
              <w:rPr>
                <w:sz w:val="19"/>
              </w:rPr>
            </w:pPr>
            <w:r>
              <w:rPr>
                <w:color w:val="202020"/>
                <w:sz w:val="19"/>
              </w:rPr>
              <w:t>65</w:t>
            </w:r>
          </w:p>
        </w:tc>
        <w:tc>
          <w:tcPr>
            <w:tcW w:w="5330" w:type="dxa"/>
            <w:tcBorders>
              <w:top w:val="single" w:sz="6" w:space="0" w:color="C8C8C8"/>
              <w:left w:val="single" w:sz="6" w:space="0" w:color="C8C8C8"/>
              <w:bottom w:val="single" w:sz="6" w:space="0" w:color="C8C8C8"/>
              <w:right w:val="nil"/>
            </w:tcBorders>
          </w:tcPr>
          <w:p>
            <w:pPr>
              <w:pStyle w:val="TableParagraph"/>
              <w:spacing w:before="85"/>
              <w:ind w:left="102"/>
              <w:rPr>
                <w:sz w:val="19"/>
              </w:rPr>
            </w:pPr>
            <w:r>
              <w:rPr>
                <w:color w:val="202020"/>
                <w:sz w:val="19"/>
              </w:rPr>
              <w:t>Non potable spirits</w:t>
            </w:r>
          </w:p>
        </w:tc>
      </w:tr>
    </w:tbl>
    <w:p>
      <w:pPr>
        <w:pStyle w:val="BodyText"/>
        <w:spacing w:before="6"/>
        <w:rPr>
          <w:sz w:val="7"/>
        </w:rPr>
      </w:pPr>
    </w:p>
    <w:p>
      <w:pPr>
        <w:pStyle w:val="BodyText"/>
        <w:spacing w:line="446" w:lineRule="auto" w:before="93"/>
        <w:ind w:left="108" w:right="1615"/>
      </w:pPr>
      <w:r>
        <w:rPr/>
        <w:t>Previously where potable spirit was moved underbond it was classified within sub-item 2(O), it will now be classified within sub-item 2(H) for the underbond movements. Any inquiries concerning these changes should be directed to the Assistant Director, Alcohol, Inland Revenue, on (06)275 6095.</w:t>
      </w:r>
    </w:p>
    <w:p>
      <w:pPr>
        <w:pStyle w:val="BodyText"/>
        <w:spacing w:line="237" w:lineRule="auto" w:before="1"/>
        <w:ind w:left="108" w:right="14000"/>
      </w:pPr>
      <w:r>
        <w:rPr/>
        <w:t>(J H Jeffery) National Manager Inland Revenue</w:t>
      </w:r>
    </w:p>
    <w:p>
      <w:pPr>
        <w:pStyle w:val="BodyText"/>
        <w:spacing w:before="6"/>
        <w:rPr>
          <w:sz w:val="16"/>
        </w:rPr>
      </w:pPr>
    </w:p>
    <w:p>
      <w:pPr>
        <w:pStyle w:val="BodyText"/>
        <w:spacing w:line="237" w:lineRule="auto"/>
        <w:ind w:left="108" w:right="12469"/>
      </w:pPr>
      <w:r>
        <w:rPr/>
        <w:t>for Chief Executive Officer CANBERRA ACT 2601</w:t>
      </w:r>
    </w:p>
    <w:p>
      <w:pPr>
        <w:pStyle w:val="BodyText"/>
        <w:spacing w:before="4"/>
        <w:rPr>
          <w:sz w:val="16"/>
        </w:rPr>
      </w:pPr>
    </w:p>
    <w:p>
      <w:pPr>
        <w:pStyle w:val="BodyText"/>
        <w:ind w:left="108"/>
      </w:pPr>
      <w:r>
        <w:rPr/>
        <w:t>25 February 1997</w:t>
      </w:r>
    </w:p>
    <w:p>
      <w:pPr>
        <w:pStyle w:val="BodyText"/>
        <w:spacing w:before="3"/>
        <w:rPr>
          <w:sz w:val="16"/>
        </w:rPr>
      </w:pPr>
    </w:p>
    <w:p>
      <w:pPr>
        <w:pStyle w:val="BodyText"/>
        <w:ind w:left="108"/>
      </w:pPr>
      <w:r>
        <w:rPr/>
        <w:t>Inland Revenue:- C89/8700</w:t>
      </w:r>
    </w:p>
    <w:sectPr>
      <w:pgSz w:w="16840" w:h="11900" w:orient="landscape"/>
      <w:pgMar w:top="5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Roman"/>
      <w:lvlText w:val="(%1)"/>
      <w:lvlJc w:val="left"/>
      <w:pPr>
        <w:ind w:left="329" w:hanging="221"/>
        <w:jc w:val="left"/>
      </w:pPr>
      <w:rPr>
        <w:rFonts w:hint="default" w:ascii="Arial" w:hAnsi="Arial" w:eastAsia="Arial" w:cs="Arial"/>
        <w:w w:val="99"/>
        <w:sz w:val="19"/>
        <w:szCs w:val="19"/>
      </w:rPr>
    </w:lvl>
    <w:lvl w:ilvl="1">
      <w:start w:val="0"/>
      <w:numFmt w:val="bullet"/>
      <w:lvlText w:val="•"/>
      <w:lvlJc w:val="left"/>
      <w:pPr>
        <w:ind w:left="1870" w:hanging="221"/>
      </w:pPr>
      <w:rPr>
        <w:rFonts w:hint="default"/>
      </w:rPr>
    </w:lvl>
    <w:lvl w:ilvl="2">
      <w:start w:val="0"/>
      <w:numFmt w:val="bullet"/>
      <w:lvlText w:val="•"/>
      <w:lvlJc w:val="left"/>
      <w:pPr>
        <w:ind w:left="3420" w:hanging="221"/>
      </w:pPr>
      <w:rPr>
        <w:rFonts w:hint="default"/>
      </w:rPr>
    </w:lvl>
    <w:lvl w:ilvl="3">
      <w:start w:val="0"/>
      <w:numFmt w:val="bullet"/>
      <w:lvlText w:val="•"/>
      <w:lvlJc w:val="left"/>
      <w:pPr>
        <w:ind w:left="4970" w:hanging="221"/>
      </w:pPr>
      <w:rPr>
        <w:rFonts w:hint="default"/>
      </w:rPr>
    </w:lvl>
    <w:lvl w:ilvl="4">
      <w:start w:val="0"/>
      <w:numFmt w:val="bullet"/>
      <w:lvlText w:val="•"/>
      <w:lvlJc w:val="left"/>
      <w:pPr>
        <w:ind w:left="6520" w:hanging="221"/>
      </w:pPr>
      <w:rPr>
        <w:rFonts w:hint="default"/>
      </w:rPr>
    </w:lvl>
    <w:lvl w:ilvl="5">
      <w:start w:val="0"/>
      <w:numFmt w:val="bullet"/>
      <w:lvlText w:val="•"/>
      <w:lvlJc w:val="left"/>
      <w:pPr>
        <w:ind w:left="8070" w:hanging="221"/>
      </w:pPr>
      <w:rPr>
        <w:rFonts w:hint="default"/>
      </w:rPr>
    </w:lvl>
    <w:lvl w:ilvl="6">
      <w:start w:val="0"/>
      <w:numFmt w:val="bullet"/>
      <w:lvlText w:val="•"/>
      <w:lvlJc w:val="left"/>
      <w:pPr>
        <w:ind w:left="9620" w:hanging="221"/>
      </w:pPr>
      <w:rPr>
        <w:rFonts w:hint="default"/>
      </w:rPr>
    </w:lvl>
    <w:lvl w:ilvl="7">
      <w:start w:val="0"/>
      <w:numFmt w:val="bullet"/>
      <w:lvlText w:val="•"/>
      <w:lvlJc w:val="left"/>
      <w:pPr>
        <w:ind w:left="11170" w:hanging="221"/>
      </w:pPr>
      <w:rPr>
        <w:rFonts w:hint="default"/>
      </w:rPr>
    </w:lvl>
    <w:lvl w:ilvl="8">
      <w:start w:val="0"/>
      <w:numFmt w:val="bullet"/>
      <w:lvlText w:val="•"/>
      <w:lvlJc w:val="left"/>
      <w:pPr>
        <w:ind w:left="12720" w:hanging="22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ind w:left="108" w:hanging="222"/>
    </w:pPr>
    <w:rPr>
      <w:rFonts w:ascii="Arial" w:hAnsi="Arial" w:eastAsia="Arial" w:cs="Arial"/>
    </w:rPr>
  </w:style>
  <w:style w:styleId="TableParagraph" w:type="paragraph">
    <w:name w:val="Table Paragraph"/>
    <w:basedOn w:val="Normal"/>
    <w:uiPriority w:val="1"/>
    <w:qFormat/>
    <w:pPr>
      <w:spacing w:before="91"/>
      <w:ind w:left="101"/>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2020-12-09T23:20:25Z</dcterms:created>
  <dcterms:modified xsi:type="dcterms:W3CDTF">2020-12-09T23:20:25Z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