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1997 29</w:t>
      </w:r>
    </w:p>
    <w:p>
      <w:pPr>
        <w:spacing w:line="312" w:lineRule="auto" w:before="390"/>
        <w:ind w:left="100" w:right="0" w:firstLine="0"/>
        <w:jc w:val="left"/>
        <w:rPr>
          <w:b/>
          <w:sz w:val="36"/>
        </w:rPr>
      </w:pPr>
      <w:r>
        <w:rPr>
          <w:b/>
          <w:color w:val="202020"/>
          <w:sz w:val="36"/>
        </w:rPr>
        <w:t>EXCISION OF AUTOMOTIVE LEATHER FROM THE TEXTILES, CLOTHING &amp;amp; FOOTWEAR IMPORT CREDIT SCHEME AND AUTOMOTIVE EXPORT FACILITATION SCHEME</w:t>
      </w:r>
    </w:p>
    <w:p>
      <w:pPr>
        <w:pStyle w:val="BodyText"/>
        <w:spacing w:before="161"/>
        <w:ind w:right="354"/>
      </w:pPr>
      <w:r>
        <w:rPr/>
        <w:t>Administrative changes to the operation of the Textiles, Clothing &amp;amp; Footwear Import Credit Scheme (ICS) and the Automotive Export Facilitation Scheme (EFS) take effect from 1 April 1997.</w:t>
      </w:r>
    </w:p>
    <w:p>
      <w:pPr>
        <w:pStyle w:val="BodyText"/>
        <w:ind w:left="0"/>
        <w:rPr>
          <w:sz w:val="18"/>
        </w:rPr>
      </w:pPr>
    </w:p>
    <w:p>
      <w:pPr>
        <w:pStyle w:val="BodyText"/>
        <w:ind w:right="354"/>
      </w:pPr>
      <w:r>
        <w:rPr/>
        <w:t>From then, automotive leather is excised from the ICS by the addition of a note to categories 4104-4111 in the table of Eligible Harmonised Classification and Descriptive Coding System Headings of the Administrative Arrangements, stating that all leather intended for use in manufactured motor vehicles is not eligible under this heading.</w:t>
      </w:r>
    </w:p>
    <w:p>
      <w:pPr>
        <w:pStyle w:val="BodyText"/>
        <w:spacing w:before="9"/>
        <w:ind w:left="0"/>
        <w:rPr>
          <w:sz w:val="17"/>
        </w:rPr>
      </w:pPr>
    </w:p>
    <w:p>
      <w:pPr>
        <w:pStyle w:val="BodyText"/>
      </w:pPr>
      <w:r>
        <w:rPr/>
        <w:t>An additional note will be incorporated in the explanatory guide-lines indicating such exports are not eligible.</w:t>
      </w:r>
    </w:p>
    <w:p>
      <w:pPr>
        <w:pStyle w:val="BodyText"/>
        <w:spacing w:before="1"/>
        <w:ind w:left="0"/>
        <w:rPr>
          <w:sz w:val="18"/>
        </w:rPr>
      </w:pPr>
    </w:p>
    <w:p>
      <w:pPr>
        <w:pStyle w:val="BodyText"/>
      </w:pPr>
      <w:r>
        <w:rPr/>
        <w:t>Claimants under categories 4104-4111 are required to sign a declaration averring that leather being exported is not intended for use in manufactured motor vehicles.</w:t>
      </w:r>
    </w:p>
    <w:p>
      <w:pPr>
        <w:pStyle w:val="BodyText"/>
        <w:ind w:left="0"/>
        <w:rPr>
          <w:sz w:val="18"/>
        </w:rPr>
      </w:pPr>
    </w:p>
    <w:p>
      <w:pPr>
        <w:pStyle w:val="BodyText"/>
        <w:spacing w:before="1"/>
      </w:pPr>
      <w:r>
        <w:rPr/>
        <w:t>The wording of paragraph C:1:2:1:b of the "Administrative Arrangements to the Year 2000 for the Automotive Industry" to be replaced with the following:</w:t>
      </w:r>
    </w:p>
    <w:p>
      <w:pPr>
        <w:pStyle w:val="BodyText"/>
        <w:spacing w:before="11"/>
        <w:ind w:left="0"/>
        <w:rPr>
          <w:sz w:val="17"/>
        </w:rPr>
      </w:pPr>
    </w:p>
    <w:p>
      <w:pPr>
        <w:pStyle w:val="BodyText"/>
        <w:tabs>
          <w:tab w:pos="928" w:val="left" w:leader="dot"/>
        </w:tabs>
        <w:ind w:right="986"/>
      </w:pPr>
      <w:r>
        <w:rPr/>
        <w:t>"b. Australian produced (see Glossary) automotive components, excluding articles of leather, which </w:t>
      </w:r>
      <w:r>
        <w:rPr>
          <w:spacing w:val="-5"/>
        </w:rPr>
        <w:t>are: </w:t>
      </w:r>
      <w:r>
        <w:rPr/>
        <w:t>(i)</w:t>
        <w:tab/>
        <w:t>"</w:t>
      </w:r>
    </w:p>
    <w:p>
      <w:pPr>
        <w:pStyle w:val="BodyText"/>
        <w:spacing w:line="450" w:lineRule="exact" w:before="44"/>
        <w:ind w:right="2688"/>
      </w:pPr>
      <w:r>
        <w:rPr/>
        <w:t>Any queries to these changes should be directed to Michael Henry on (06) 275 6553. MARION E GRANT</w:t>
      </w:r>
    </w:p>
    <w:p>
      <w:pPr>
        <w:pStyle w:val="BodyText"/>
        <w:spacing w:line="194" w:lineRule="exact"/>
      </w:pPr>
      <w:r>
        <w:rPr/>
        <w:t>National Manager</w:t>
      </w:r>
    </w:p>
    <w:p>
      <w:pPr>
        <w:pStyle w:val="BodyText"/>
        <w:ind w:right="9833"/>
      </w:pPr>
      <w:r>
        <w:rPr/>
        <w:t>Industry for</w:t>
      </w:r>
    </w:p>
    <w:p>
      <w:pPr>
        <w:pStyle w:val="BodyText"/>
        <w:spacing w:line="239" w:lineRule="exact"/>
      </w:pPr>
      <w:r>
        <w:rPr/>
        <w:t>CHIEF EXECUTIVE OFFICER</w:t>
      </w:r>
    </w:p>
    <w:p>
      <w:pPr>
        <w:pStyle w:val="BodyText"/>
        <w:spacing w:before="1"/>
        <w:ind w:left="0"/>
        <w:rPr>
          <w:sz w:val="18"/>
        </w:rPr>
      </w:pPr>
    </w:p>
    <w:p>
      <w:pPr>
        <w:pStyle w:val="BodyText"/>
      </w:pPr>
      <w:r>
        <w:rPr/>
        <w:t>26 March 1997</w:t>
      </w:r>
    </w:p>
    <w:sectPr>
      <w:type w:val="continuous"/>
      <w:pgSz w:w="11900" w:h="16840"/>
      <w:pgMar w:top="700" w:bottom="280" w:left="60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2020-12-09T22:16:00Z</dcterms:created>
  <dcterms:modified xsi:type="dcterms:W3CDTF">2020-12-09T22:16:00Z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