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85</w:t>
      </w:r>
    </w:p>
    <w:p>
      <w:pPr>
        <w:spacing w:line="312" w:lineRule="auto" w:before="390"/>
        <w:ind w:left="100" w:right="0" w:firstLine="0"/>
        <w:jc w:val="left"/>
        <w:rPr>
          <w:b/>
          <w:sz w:val="36"/>
        </w:rPr>
      </w:pPr>
      <w:r>
        <w:rPr>
          <w:b/>
          <w:color w:val="202020"/>
          <w:sz w:val="36"/>
        </w:rPr>
        <w:t>COMPILE AND SEA CARGO AUTOMATION (SCA) CARGO RELEASE ARRANGEMENTS</w:t>
      </w:r>
    </w:p>
    <w:p>
      <w:pPr>
        <w:pStyle w:val="BodyText"/>
        <w:spacing w:before="159"/>
        <w:ind w:left="100" w:right="653"/>
      </w:pPr>
      <w:r>
        <w:rPr/>
        <w:t>New arrangements for the release of cargo, to be known as "print contingency release" will be available to Customs Brokers through a new facility in the COMPILE system from 25 October 1997.</w:t>
      </w:r>
    </w:p>
    <w:p>
      <w:pPr>
        <w:pStyle w:val="BodyText"/>
        <w:rPr>
          <w:sz w:val="18"/>
        </w:rPr>
      </w:pPr>
    </w:p>
    <w:p>
      <w:pPr>
        <w:pStyle w:val="BodyText"/>
        <w:spacing w:before="1"/>
        <w:ind w:left="100"/>
      </w:pPr>
      <w:r>
        <w:rPr/>
        <w:t>These arrangements will apply when there are outages or significant delays affecting the transmission or receipt of advice ("the SCA release") to container terminal and depot operators that cargo is authorised to be released.</w:t>
      </w:r>
    </w:p>
    <w:p>
      <w:pPr>
        <w:pStyle w:val="BodyText"/>
        <w:spacing w:before="11"/>
        <w:rPr>
          <w:sz w:val="17"/>
        </w:rPr>
      </w:pPr>
    </w:p>
    <w:p>
      <w:pPr>
        <w:pStyle w:val="BodyText"/>
        <w:ind w:left="100" w:right="228"/>
        <w:jc w:val="both"/>
      </w:pPr>
      <w:r>
        <w:rPr/>
        <w:t>On and from 25 October 1997, Customs Brokers will have access to a "print contingency release" option within their COMPILE facility. When the print-out is presented to container terminal and depot operators, and no SCA release has been received, the cargo to which it relates may be released.</w:t>
      </w:r>
    </w:p>
    <w:p>
      <w:pPr>
        <w:pStyle w:val="BodyText"/>
        <w:spacing w:before="10"/>
        <w:rPr>
          <w:sz w:val="17"/>
        </w:rPr>
      </w:pPr>
    </w:p>
    <w:p>
      <w:pPr>
        <w:pStyle w:val="BodyText"/>
        <w:spacing w:line="241" w:lineRule="exact"/>
        <w:ind w:left="100"/>
        <w:jc w:val="both"/>
      </w:pPr>
      <w:r>
        <w:rPr/>
        <w:t>These new arrangements are intended for use under the following circumstances:</w:t>
      </w:r>
    </w:p>
    <w:p>
      <w:pPr>
        <w:pStyle w:val="BodyText"/>
        <w:ind w:left="1233" w:right="545"/>
      </w:pPr>
      <w:r>
        <w:rPr/>
        <w:pict>
          <v:shape style="position:absolute;margin-left:80.75pt;margin-top:5.348877pt;width:3pt;height:3pt;mso-position-horizontal-relative:page;mso-position-vertical-relative:paragraph;z-index:15728640" coordorigin="1615,107" coordsize="60,60" path="m1645,167l1632,165,1622,159,1617,150,1615,137,1617,124,1622,114,1632,109,1645,107,1658,109,1668,114,1673,124,1675,137,1673,150,1668,159,1658,165,1645,167xe" filled="true" fillcolor="#000000" stroked="false">
            <v:path arrowok="t"/>
            <v:fill type="solid"/>
            <w10:wrap type="none"/>
          </v:shape>
        </w:pict>
      </w:r>
      <w:r>
        <w:rPr/>
        <w:t>when there are significant delays or a complete failure to transmit the SCA release to container terminals and container depot operators.</w:t>
      </w:r>
    </w:p>
    <w:p>
      <w:pPr>
        <w:pStyle w:val="BodyText"/>
        <w:spacing w:before="5"/>
        <w:rPr>
          <w:sz w:val="12"/>
        </w:rPr>
      </w:pPr>
    </w:p>
    <w:p>
      <w:pPr>
        <w:pStyle w:val="BodyText"/>
        <w:spacing w:before="93"/>
        <w:ind w:left="1233" w:right="101"/>
      </w:pPr>
      <w:r>
        <w:rPr/>
        <w:pict>
          <v:shape style="position:absolute;margin-left:80.75pt;margin-top:9.998877pt;width:3pt;height:3pt;mso-position-horizontal-relative:page;mso-position-vertical-relative:paragraph;z-index:15729152" coordorigin="1615,200" coordsize="60,60" path="m1645,260l1632,258,1622,252,1617,243,1615,230,1617,217,1622,207,1632,202,1645,200,1658,202,1668,207,1673,217,1675,230,1673,243,1668,252,1658,258,1645,260xe" filled="true" fillcolor="#000000" stroked="false">
            <v:path arrowok="t"/>
            <v:fill type="solid"/>
            <w10:wrap type="none"/>
          </v:shape>
        </w:pict>
      </w:r>
      <w:r>
        <w:rPr/>
        <w:t>when technical problems experienced by container terminals and container depot operators prevent or significantly delay the receipt of the SCA release.</w:t>
      </w:r>
    </w:p>
    <w:p>
      <w:pPr>
        <w:pStyle w:val="BodyText"/>
        <w:rPr>
          <w:sz w:val="22"/>
        </w:rPr>
      </w:pPr>
    </w:p>
    <w:p>
      <w:pPr>
        <w:pStyle w:val="BodyText"/>
        <w:rPr>
          <w:sz w:val="22"/>
        </w:rPr>
      </w:pPr>
    </w:p>
    <w:p>
      <w:pPr>
        <w:pStyle w:val="BodyText"/>
        <w:spacing w:line="241" w:lineRule="exact" w:before="152"/>
        <w:ind w:left="100"/>
      </w:pPr>
      <w:r>
        <w:rPr/>
        <w:t>The contingency release print-out can only be generated by COMPILE:</w:t>
      </w:r>
    </w:p>
    <w:p>
      <w:pPr>
        <w:pStyle w:val="BodyText"/>
        <w:ind w:left="1233" w:right="825"/>
      </w:pPr>
      <w:r>
        <w:rPr/>
        <w:pict>
          <v:shape style="position:absolute;margin-left:80.75pt;margin-top:5.348877pt;width:3pt;height:3pt;mso-position-horizontal-relative:page;mso-position-vertical-relative:paragraph;z-index:15729664" coordorigin="1615,107" coordsize="60,60" path="m1645,167l1632,165,1622,159,1617,150,1615,137,1617,124,1622,114,1632,109,1645,107,1658,109,1668,114,1673,124,1675,137,1673,150,1668,159,1658,165,1645,167xe" filled="true" fillcolor="#000000" stroked="false">
            <v:path arrowok="t"/>
            <v:fill type="solid"/>
            <w10:wrap type="none"/>
          </v:shape>
        </w:pict>
      </w:r>
      <w:r>
        <w:rPr/>
        <w:t>if at least 2 hours has elapsed since the original advice authorising release of the cargo was transmitted to the container terminal or depot operator.</w:t>
      </w:r>
    </w:p>
    <w:p>
      <w:pPr>
        <w:pStyle w:val="BodyText"/>
        <w:spacing w:before="5"/>
        <w:rPr>
          <w:sz w:val="12"/>
        </w:rPr>
      </w:pPr>
    </w:p>
    <w:p>
      <w:pPr>
        <w:pStyle w:val="BodyText"/>
        <w:spacing w:before="93"/>
        <w:ind w:left="1233" w:right="252"/>
      </w:pPr>
      <w:r>
        <w:rPr/>
        <w:pict>
          <v:shape style="position:absolute;margin-left:80.75pt;margin-top:9.998877pt;width:3pt;height:3pt;mso-position-horizontal-relative:page;mso-position-vertical-relative:paragraph;z-index:15730176" coordorigin="1615,200" coordsize="60,60" path="m1645,260l1632,258,1622,252,1617,243,1615,230,1617,217,1622,207,1632,202,1645,200,1658,202,1668,207,1673,217,1675,230,1673,243,1668,252,1658,258,1645,260xe" filled="true" fillcolor="#000000" stroked="false">
            <v:path arrowok="t"/>
            <v:fill type="solid"/>
            <w10:wrap type="none"/>
          </v:shape>
        </w:pict>
      </w:r>
      <w:r>
        <w:rPr/>
        <w:t>if an authority to deal in the goods has been granted under the provisions of s.71B of the </w:t>
      </w:r>
      <w:r>
        <w:rPr>
          <w:i/>
        </w:rPr>
        <w:t>Customs Act </w:t>
      </w:r>
      <w:r>
        <w:rPr/>
        <w:t>1901.</w:t>
      </w:r>
    </w:p>
    <w:p>
      <w:pPr>
        <w:pStyle w:val="BodyText"/>
        <w:rPr>
          <w:sz w:val="22"/>
        </w:rPr>
      </w:pPr>
    </w:p>
    <w:p>
      <w:pPr>
        <w:pStyle w:val="BodyText"/>
        <w:rPr>
          <w:sz w:val="22"/>
        </w:rPr>
      </w:pPr>
    </w:p>
    <w:p>
      <w:pPr>
        <w:pStyle w:val="BodyText"/>
        <w:spacing w:before="151"/>
        <w:ind w:left="100" w:right="467"/>
      </w:pPr>
      <w:r>
        <w:rPr/>
        <w:t>The "print contingency release" print-out will indicate the name of the container terminal or depot operator to whom the original advice authorising release of the cargo was transmitted and the date and time of that transmission.</w:t>
      </w:r>
    </w:p>
    <w:p>
      <w:pPr>
        <w:pStyle w:val="BodyText"/>
        <w:spacing w:before="10"/>
        <w:rPr>
          <w:sz w:val="17"/>
        </w:rPr>
      </w:pPr>
    </w:p>
    <w:p>
      <w:pPr>
        <w:pStyle w:val="BodyText"/>
        <w:ind w:left="100" w:right="303"/>
      </w:pPr>
      <w:r>
        <w:rPr/>
        <w:t>The "print contingency release" print-out will also indicate whether the authority to deal is subject to Australian Quarantine and Inspection Service (AQIS) or Motor Vehicle Standards Association (MVSA) conditions.</w:t>
      </w:r>
    </w:p>
    <w:p>
      <w:pPr>
        <w:pStyle w:val="BodyText"/>
        <w:rPr>
          <w:sz w:val="18"/>
        </w:rPr>
      </w:pPr>
    </w:p>
    <w:p>
      <w:pPr>
        <w:pStyle w:val="BodyText"/>
        <w:ind w:left="100"/>
      </w:pPr>
      <w:r>
        <w:rPr/>
        <w:t>COMPILE user manuals will be updated shortly to reflect the new arrangements.</w:t>
      </w:r>
    </w:p>
    <w:p>
      <w:pPr>
        <w:pStyle w:val="BodyText"/>
        <w:spacing w:before="1"/>
        <w:rPr>
          <w:sz w:val="18"/>
        </w:rPr>
      </w:pPr>
    </w:p>
    <w:p>
      <w:pPr>
        <w:pStyle w:val="BodyText"/>
        <w:spacing w:before="1"/>
        <w:ind w:left="100"/>
      </w:pPr>
      <w:r>
        <w:rPr/>
        <w:t>Any queries in relation to the new arrangements should be directed to the SCA Help Desk in your Region.</w:t>
      </w:r>
    </w:p>
    <w:p>
      <w:pPr>
        <w:pStyle w:val="BodyText"/>
        <w:rPr>
          <w:sz w:val="22"/>
        </w:rPr>
      </w:pPr>
    </w:p>
    <w:p>
      <w:pPr>
        <w:pStyle w:val="BodyText"/>
        <w:spacing w:before="195"/>
        <w:ind w:left="100" w:right="8822"/>
      </w:pPr>
      <w:r>
        <w:rPr/>
        <w:t>National Manager Cargo Facilitation</w:t>
      </w:r>
    </w:p>
    <w:p>
      <w:pPr>
        <w:pStyle w:val="BodyText"/>
        <w:spacing w:line="477" w:lineRule="auto"/>
        <w:ind w:left="100" w:right="7333"/>
      </w:pPr>
      <w:r>
        <w:rPr/>
        <w:t>for Chief Executive Officer October 1997</w:t>
      </w:r>
    </w:p>
    <w:sectPr>
      <w:type w:val="continuous"/>
      <w:pgSz w:w="11900" w:h="16840"/>
      <w:pgMar w:top="70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2020-12-09T23:03:16Z</dcterms:created>
  <dcterms:modified xsi:type="dcterms:W3CDTF">2020-12-09T23:03:16Z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