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29</w:t>
      </w:r>
    </w:p>
    <w:p>
      <w:pPr>
        <w:spacing w:before="357"/>
        <w:ind w:left="108" w:right="0" w:firstLine="0"/>
        <w:jc w:val="left"/>
        <w:rPr>
          <w:b/>
          <w:sz w:val="32"/>
        </w:rPr>
      </w:pPr>
      <w:r>
        <w:rPr>
          <w:b/>
          <w:color w:val="202020"/>
          <w:sz w:val="32"/>
        </w:rPr>
        <w:t>ACCESS TO COMPILE VIA THE INTERNET</w:t>
      </w:r>
    </w:p>
    <w:p>
      <w:pPr>
        <w:pStyle w:val="BodyText"/>
        <w:spacing w:before="254"/>
      </w:pPr>
      <w:r>
        <w:rPr/>
        <w:t>Customs is now in a position to offer access to COMPILE via the Internet. This provides an alternative to the current leased line access and will be available to users from 20 July 1998.</w:t>
      </w:r>
    </w:p>
    <w:p>
      <w:pPr>
        <w:pStyle w:val="BodyText"/>
        <w:spacing w:before="5"/>
        <w:ind w:left="0"/>
        <w:rPr>
          <w:sz w:val="16"/>
        </w:rPr>
      </w:pPr>
    </w:p>
    <w:p>
      <w:pPr>
        <w:pStyle w:val="BodyText"/>
        <w:spacing w:line="237" w:lineRule="auto"/>
        <w:ind w:right="316"/>
      </w:pPr>
      <w:r>
        <w:rPr/>
        <w:t>For an importer or Customs Broker to lodge a Customs entry electronically and thereby attract the lower Customs administrative charges, the importer/broker would need to access the Customs COMPILE system. To access the COMPILE system, an importer/broker would need to have installed a dedicated line at their premises at a cost of $5500.</w:t>
      </w:r>
    </w:p>
    <w:p>
      <w:pPr>
        <w:pStyle w:val="BodyText"/>
        <w:spacing w:before="6"/>
        <w:ind w:left="0"/>
        <w:rPr>
          <w:sz w:val="16"/>
        </w:rPr>
      </w:pPr>
    </w:p>
    <w:p>
      <w:pPr>
        <w:pStyle w:val="BodyText"/>
        <w:spacing w:line="237" w:lineRule="auto"/>
        <w:ind w:right="601"/>
      </w:pPr>
      <w:r>
        <w:rPr/>
        <w:t>The only other alternative to the dedicated line is to communicate with the COMPILE system using the Electronic Data Interchange system known as EDIFICE. This entails the user building or purchasing specialist Customs broking software.</w:t>
      </w:r>
    </w:p>
    <w:p>
      <w:pPr>
        <w:pStyle w:val="BodyText"/>
        <w:spacing w:before="6"/>
        <w:ind w:left="0"/>
        <w:rPr>
          <w:sz w:val="16"/>
        </w:rPr>
      </w:pPr>
    </w:p>
    <w:p>
      <w:pPr>
        <w:pStyle w:val="BodyText"/>
        <w:spacing w:line="237" w:lineRule="auto"/>
        <w:ind w:right="379"/>
      </w:pPr>
      <w:r>
        <w:rPr/>
        <w:t>It was recognised that these were not always cost effective options for small business. As such, in conjunction with Tradegate ECA, Customs will now provide access to the COMPILE system via the Internet.</w:t>
      </w:r>
    </w:p>
    <w:p>
      <w:pPr>
        <w:pStyle w:val="BodyText"/>
        <w:spacing w:before="4"/>
        <w:ind w:left="0"/>
        <w:rPr>
          <w:sz w:val="16"/>
        </w:rPr>
      </w:pPr>
    </w:p>
    <w:p>
      <w:pPr>
        <w:pStyle w:val="Heading1"/>
      </w:pPr>
      <w:r>
        <w:rPr/>
        <w:t>Tradegate Internet Service</w:t>
      </w:r>
    </w:p>
    <w:p>
      <w:pPr>
        <w:pStyle w:val="BodyText"/>
        <w:spacing w:before="5"/>
        <w:ind w:left="0"/>
        <w:rPr>
          <w:b/>
          <w:sz w:val="16"/>
        </w:rPr>
      </w:pPr>
    </w:p>
    <w:p>
      <w:pPr>
        <w:pStyle w:val="BodyText"/>
        <w:spacing w:line="237" w:lineRule="auto"/>
        <w:ind w:right="262"/>
      </w:pPr>
      <w:r>
        <w:rPr/>
        <w:t>Security of Customs COMPILE system was a major consideration in the setting up of the service. As a result, Tradegate through its Internet Service Provider AT&amp;T, will be the only service provider. AT&amp;T have set up a Virtual Private Network to ensure that communications between the user and Customs are secure and accessible at local call charges nationwide. There are no separate Internet charges to access this service.</w:t>
      </w:r>
    </w:p>
    <w:p>
      <w:pPr>
        <w:pStyle w:val="BodyText"/>
        <w:spacing w:before="4"/>
        <w:ind w:left="0"/>
        <w:rPr>
          <w:sz w:val="16"/>
        </w:rPr>
      </w:pPr>
    </w:p>
    <w:p>
      <w:pPr>
        <w:pStyle w:val="BodyText"/>
        <w:spacing w:line="446" w:lineRule="auto"/>
        <w:ind w:right="6863"/>
        <w:rPr>
          <w:b/>
        </w:rPr>
      </w:pPr>
      <w:r>
        <w:rPr/>
        <w:t>The service will provide full COMPILE functionality. However it will not provide general Internet capability. </w:t>
      </w:r>
      <w:r>
        <w:rPr>
          <w:b/>
        </w:rPr>
        <w:t>Costs and Charges</w:t>
      </w:r>
    </w:p>
    <w:p>
      <w:pPr>
        <w:pStyle w:val="BodyText"/>
        <w:spacing w:line="237" w:lineRule="auto" w:before="1"/>
      </w:pPr>
      <w:r>
        <w:rPr>
          <w:spacing w:val="-11"/>
        </w:rPr>
        <w:t>To </w:t>
      </w:r>
      <w:r>
        <w:rPr/>
        <w:t>connect to this service, users make a local phone call and will be charged the Customs cost recovery fee together with the Tradegate ECA fee per </w:t>
      </w:r>
      <w:r>
        <w:rPr>
          <w:spacing w:val="-3"/>
        </w:rPr>
        <w:t>entry, </w:t>
      </w:r>
      <w:r>
        <w:rPr/>
        <w:t>as are all importers/brokers using Customs COMPILE system.</w:t>
      </w:r>
    </w:p>
    <w:p>
      <w:pPr>
        <w:pStyle w:val="BodyText"/>
        <w:spacing w:before="4"/>
        <w:ind w:left="0"/>
        <w:rPr>
          <w:sz w:val="16"/>
        </w:rPr>
      </w:pPr>
    </w:p>
    <w:p>
      <w:pPr>
        <w:pStyle w:val="BodyText"/>
        <w:spacing w:line="446" w:lineRule="auto"/>
        <w:ind w:right="3705"/>
        <w:rPr>
          <w:b/>
        </w:rPr>
      </w:pPr>
      <w:r>
        <w:rPr/>
        <w:t>The only other cost to be borne by the user is a one off cost for the software. The cost of this software is $350 and is only available from AT&amp;T. </w:t>
      </w:r>
      <w:r>
        <w:rPr>
          <w:b/>
        </w:rPr>
        <w:t>Registration and Connection</w:t>
      </w:r>
    </w:p>
    <w:p>
      <w:pPr>
        <w:pStyle w:val="BodyText"/>
        <w:spacing w:line="446" w:lineRule="auto"/>
        <w:ind w:right="4115"/>
      </w:pPr>
      <w:r>
        <w:rPr/>
        <w:t>Users must sign a COMPILE User Agreement with Customs and receive user codes prior to having an Internet connection established. For new users a summary of the registration process is outlined below.</w:t>
      </w:r>
    </w:p>
    <w:p>
      <w:pPr>
        <w:pStyle w:val="BodyText"/>
        <w:spacing w:line="237" w:lineRule="auto"/>
        <w:ind w:left="373" w:right="5835"/>
      </w:pPr>
      <w:r>
        <w:rPr/>
        <w:pict>
          <v:shape style="position:absolute;margin-left:37.793461pt;margin-top:4.763259pt;width:2.75pt;height:2.75pt;mso-position-horizontal-relative:page;mso-position-vertical-relative:paragraph;z-index:15728640"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79pt;width:2.75pt;height:2.75pt;mso-position-horizontal-relative:page;mso-position-vertical-relative:paragraph;z-index:15729152" coordorigin="756,312" coordsize="55,55" path="m801,366l765,366,756,357,756,321,765,312,801,312,810,321,810,339,810,357,801,366xe" filled="true" fillcolor="#000000" stroked="false">
            <v:path arrowok="t"/>
            <v:fill type="solid"/>
            <w10:wrap type="none"/>
          </v:shape>
        </w:pict>
      </w:r>
      <w:r>
        <w:rPr/>
        <w:t>Send a fax to the Customs User Liaison section in your State requesting to be registered as a COMPILE user. User Liaison will mail out a COMPILE Registration package.</w:t>
      </w:r>
    </w:p>
    <w:p>
      <w:pPr>
        <w:pStyle w:val="BodyText"/>
        <w:spacing w:line="216" w:lineRule="exact"/>
        <w:ind w:left="373"/>
      </w:pPr>
      <w:r>
        <w:rPr/>
        <w:pict>
          <v:shape style="position:absolute;margin-left:37.793461pt;margin-top:4.779035pt;width:2.75pt;height:2.75pt;mso-position-horizontal-relative:page;mso-position-vertical-relative:paragraph;z-index:15729664" coordorigin="756,96" coordsize="55,55" path="m801,150l765,150,756,141,756,105,765,96,801,96,810,105,810,123,810,141,801,150xe" filled="true" fillcolor="#000000" stroked="false">
            <v:path arrowok="t"/>
            <v:fill type="solid"/>
            <w10:wrap type="none"/>
          </v:shape>
        </w:pict>
      </w:r>
      <w:r>
        <w:rPr/>
        <w:t>The user fills out the various forms and returns them to User Liaison.</w:t>
      </w:r>
    </w:p>
    <w:p>
      <w:pPr>
        <w:pStyle w:val="BodyText"/>
        <w:spacing w:line="237" w:lineRule="auto"/>
        <w:ind w:left="373" w:right="8096"/>
      </w:pPr>
      <w:r>
        <w:rPr/>
        <w:pict>
          <v:shape style="position:absolute;margin-left:37.793461pt;margin-top:4.763263pt;width:2.75pt;height:2.75pt;mso-position-horizontal-relative:page;mso-position-vertical-relative:paragraph;z-index:15730176"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82pt;width:2.75pt;height:2.75pt;mso-position-horizontal-relative:page;mso-position-vertical-relative:paragraph;z-index:15730688" coordorigin="756,312" coordsize="55,55" path="m801,366l765,366,756,357,756,321,765,312,801,312,810,321,810,339,810,357,801,366xe" filled="true" fillcolor="#000000" stroked="false">
            <v:path arrowok="t"/>
            <v:fill type="solid"/>
            <w10:wrap type="none"/>
          </v:shape>
        </w:pict>
      </w:r>
      <w:r>
        <w:rPr/>
        <w:t>User Liaison forwards relevant forms to Tradegate, AT&amp;T and Customs Canberra. AT&amp;T configures the user and advises user of details.</w:t>
      </w:r>
    </w:p>
    <w:p>
      <w:pPr>
        <w:pStyle w:val="BodyText"/>
        <w:spacing w:line="237" w:lineRule="auto" w:before="1"/>
        <w:ind w:left="373" w:right="9556"/>
      </w:pPr>
      <w:r>
        <w:rPr/>
        <w:pict>
          <v:shape style="position:absolute;margin-left:37.793461pt;margin-top:4.813263pt;width:2.75pt;height:2.75pt;mso-position-horizontal-relative:page;mso-position-vertical-relative:paragraph;z-index:15731200"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83pt;width:2.75pt;height:2.75pt;mso-position-horizontal-relative:page;mso-position-vertical-relative:paragraph;z-index:15731712" coordorigin="756,313" coordsize="55,55" path="m801,367l765,367,756,358,756,322,765,313,801,313,810,322,810,340,810,358,801,367xe" filled="true" fillcolor="#000000" stroked="false">
            <v:path arrowok="t"/>
            <v:fill type="solid"/>
            <w10:wrap type="none"/>
          </v:shape>
        </w:pict>
      </w:r>
      <w:r>
        <w:rPr/>
        <w:t>Customs Canberra allocates user codes and sends to User Liaison. User collects user codes from User Liaison.</w:t>
      </w:r>
    </w:p>
    <w:p>
      <w:pPr>
        <w:pStyle w:val="BodyText"/>
        <w:spacing w:before="5"/>
        <w:ind w:left="0"/>
        <w:rPr>
          <w:sz w:val="16"/>
        </w:rPr>
      </w:pPr>
    </w:p>
    <w:p>
      <w:pPr>
        <w:pStyle w:val="BodyText"/>
        <w:spacing w:line="237" w:lineRule="auto"/>
        <w:ind w:right="304"/>
      </w:pPr>
      <w:r>
        <w:rPr/>
        <w:t>Existing COMPILE users will already have an agreement with Customs and simply need to apply for the Internet connection by stating this fact in a fax. User Liaison will then only send the forms necessary to establish the Internet connection.</w:t>
      </w:r>
    </w:p>
    <w:p>
      <w:pPr>
        <w:pStyle w:val="BodyText"/>
        <w:spacing w:before="4"/>
        <w:ind w:left="0"/>
        <w:rPr>
          <w:sz w:val="16"/>
        </w:rPr>
      </w:pPr>
    </w:p>
    <w:p>
      <w:pPr>
        <w:pStyle w:val="BodyText"/>
      </w:pPr>
      <w:r>
        <w:rPr/>
        <w:t>The full registration process may take up to four weeks.</w:t>
      </w:r>
    </w:p>
    <w:p>
      <w:pPr>
        <w:spacing w:after="0"/>
        <w:sectPr>
          <w:type w:val="continuous"/>
          <w:pgSz w:w="16840" w:h="11900" w:orient="landscape"/>
          <w:pgMar w:top="680" w:bottom="280" w:left="580" w:right="440"/>
        </w:sectPr>
      </w:pPr>
    </w:p>
    <w:p>
      <w:pPr>
        <w:pStyle w:val="Heading1"/>
        <w:spacing w:before="77"/>
      </w:pPr>
      <w:r>
        <w:rPr/>
        <w:t>Computer Requirements</w:t>
      </w:r>
    </w:p>
    <w:p>
      <w:pPr>
        <w:pStyle w:val="BodyText"/>
        <w:spacing w:before="4"/>
        <w:ind w:left="0"/>
        <w:rPr>
          <w:b/>
          <w:sz w:val="16"/>
        </w:rPr>
      </w:pPr>
    </w:p>
    <w:p>
      <w:pPr>
        <w:pStyle w:val="BodyText"/>
      </w:pPr>
      <w:r>
        <w:rPr/>
        <w:t>The machine requirements to be able to run the software and connect to the Tradegate Internet service are as detailed below.</w:t>
      </w:r>
    </w:p>
    <w:p>
      <w:pPr>
        <w:pStyle w:val="BodyText"/>
        <w:spacing w:before="5"/>
        <w:ind w:left="0"/>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275"/>
        <w:gridCol w:w="5668"/>
        <w:gridCol w:w="5641"/>
      </w:tblGrid>
      <w:tr>
        <w:trPr>
          <w:trHeight w:val="404" w:hRule="atLeast"/>
        </w:trPr>
        <w:tc>
          <w:tcPr>
            <w:tcW w:w="4275" w:type="dxa"/>
            <w:tcBorders>
              <w:left w:val="single" w:sz="6" w:space="0" w:color="808080"/>
            </w:tcBorders>
          </w:tcPr>
          <w:p>
            <w:pPr>
              <w:pStyle w:val="TableParagraph"/>
              <w:rPr>
                <w:b/>
                <w:sz w:val="19"/>
              </w:rPr>
            </w:pPr>
            <w:r>
              <w:rPr>
                <w:b/>
                <w:color w:val="202020"/>
                <w:sz w:val="19"/>
              </w:rPr>
              <w:t>Computer Component</w:t>
            </w:r>
          </w:p>
        </w:tc>
        <w:tc>
          <w:tcPr>
            <w:tcW w:w="5668" w:type="dxa"/>
          </w:tcPr>
          <w:p>
            <w:pPr>
              <w:pStyle w:val="TableParagraph"/>
              <w:rPr>
                <w:b/>
                <w:sz w:val="19"/>
              </w:rPr>
            </w:pPr>
            <w:r>
              <w:rPr>
                <w:b/>
                <w:color w:val="202020"/>
                <w:sz w:val="19"/>
              </w:rPr>
              <w:t>Minimum Requirement</w:t>
            </w:r>
          </w:p>
        </w:tc>
        <w:tc>
          <w:tcPr>
            <w:tcW w:w="5641" w:type="dxa"/>
            <w:tcBorders>
              <w:right w:val="nil"/>
            </w:tcBorders>
          </w:tcPr>
          <w:p>
            <w:pPr>
              <w:pStyle w:val="TableParagraph"/>
              <w:ind w:left="101"/>
              <w:rPr>
                <w:b/>
                <w:sz w:val="19"/>
              </w:rPr>
            </w:pPr>
            <w:r>
              <w:rPr>
                <w:b/>
                <w:color w:val="202020"/>
                <w:sz w:val="19"/>
              </w:rPr>
              <w:t>Preferred Components</w:t>
            </w:r>
          </w:p>
        </w:tc>
      </w:tr>
      <w:tr>
        <w:trPr>
          <w:trHeight w:val="404" w:hRule="atLeast"/>
        </w:trPr>
        <w:tc>
          <w:tcPr>
            <w:tcW w:w="4275" w:type="dxa"/>
            <w:tcBorders>
              <w:left w:val="single" w:sz="6" w:space="0" w:color="808080"/>
            </w:tcBorders>
          </w:tcPr>
          <w:p>
            <w:pPr>
              <w:pStyle w:val="TableParagraph"/>
              <w:rPr>
                <w:sz w:val="19"/>
              </w:rPr>
            </w:pPr>
            <w:r>
              <w:rPr>
                <w:color w:val="202020"/>
                <w:sz w:val="19"/>
              </w:rPr>
              <w:t>machine type</w:t>
            </w:r>
          </w:p>
        </w:tc>
        <w:tc>
          <w:tcPr>
            <w:tcW w:w="5668" w:type="dxa"/>
          </w:tcPr>
          <w:p>
            <w:pPr>
              <w:pStyle w:val="TableParagraph"/>
              <w:rPr>
                <w:sz w:val="19"/>
              </w:rPr>
            </w:pPr>
            <w:r>
              <w:rPr>
                <w:color w:val="202020"/>
                <w:sz w:val="19"/>
              </w:rPr>
              <w:t>pentium</w:t>
            </w:r>
          </w:p>
        </w:tc>
        <w:tc>
          <w:tcPr>
            <w:tcW w:w="5641" w:type="dxa"/>
            <w:tcBorders>
              <w:right w:val="nil"/>
            </w:tcBorders>
          </w:tcPr>
          <w:p>
            <w:pPr>
              <w:pStyle w:val="TableParagraph"/>
              <w:ind w:left="101"/>
              <w:rPr>
                <w:sz w:val="19"/>
              </w:rPr>
            </w:pPr>
            <w:r>
              <w:rPr>
                <w:color w:val="202020"/>
                <w:sz w:val="19"/>
              </w:rPr>
              <w:t>pentium</w:t>
            </w:r>
          </w:p>
        </w:tc>
      </w:tr>
      <w:tr>
        <w:trPr>
          <w:trHeight w:val="404" w:hRule="atLeast"/>
        </w:trPr>
        <w:tc>
          <w:tcPr>
            <w:tcW w:w="4275" w:type="dxa"/>
            <w:tcBorders>
              <w:left w:val="single" w:sz="6" w:space="0" w:color="808080"/>
            </w:tcBorders>
          </w:tcPr>
          <w:p>
            <w:pPr>
              <w:pStyle w:val="TableParagraph"/>
              <w:rPr>
                <w:sz w:val="19"/>
              </w:rPr>
            </w:pPr>
            <w:r>
              <w:rPr>
                <w:color w:val="202020"/>
                <w:sz w:val="19"/>
              </w:rPr>
              <w:t>machine speed</w:t>
            </w:r>
          </w:p>
        </w:tc>
        <w:tc>
          <w:tcPr>
            <w:tcW w:w="5668" w:type="dxa"/>
          </w:tcPr>
          <w:p>
            <w:pPr>
              <w:pStyle w:val="TableParagraph"/>
              <w:rPr>
                <w:sz w:val="19"/>
              </w:rPr>
            </w:pPr>
            <w:r>
              <w:rPr>
                <w:color w:val="202020"/>
                <w:sz w:val="19"/>
              </w:rPr>
              <w:t>90Mhz</w:t>
            </w:r>
          </w:p>
        </w:tc>
        <w:tc>
          <w:tcPr>
            <w:tcW w:w="5641" w:type="dxa"/>
            <w:tcBorders>
              <w:right w:val="nil"/>
            </w:tcBorders>
          </w:tcPr>
          <w:p>
            <w:pPr>
              <w:pStyle w:val="TableParagraph"/>
              <w:ind w:left="101"/>
              <w:rPr>
                <w:sz w:val="19"/>
              </w:rPr>
            </w:pPr>
            <w:r>
              <w:rPr>
                <w:color w:val="202020"/>
                <w:sz w:val="19"/>
              </w:rPr>
              <w:t>133Mhz</w:t>
            </w:r>
          </w:p>
        </w:tc>
      </w:tr>
      <w:tr>
        <w:trPr>
          <w:trHeight w:val="404" w:hRule="atLeast"/>
        </w:trPr>
        <w:tc>
          <w:tcPr>
            <w:tcW w:w="4275" w:type="dxa"/>
            <w:tcBorders>
              <w:left w:val="single" w:sz="6" w:space="0" w:color="808080"/>
            </w:tcBorders>
          </w:tcPr>
          <w:p>
            <w:pPr>
              <w:pStyle w:val="TableParagraph"/>
              <w:rPr>
                <w:sz w:val="19"/>
              </w:rPr>
            </w:pPr>
            <w:r>
              <w:rPr>
                <w:color w:val="202020"/>
                <w:sz w:val="19"/>
              </w:rPr>
              <w:t>RAM</w:t>
            </w:r>
          </w:p>
        </w:tc>
        <w:tc>
          <w:tcPr>
            <w:tcW w:w="5668" w:type="dxa"/>
          </w:tcPr>
          <w:p>
            <w:pPr>
              <w:pStyle w:val="TableParagraph"/>
              <w:rPr>
                <w:sz w:val="19"/>
              </w:rPr>
            </w:pPr>
            <w:r>
              <w:rPr>
                <w:color w:val="202020"/>
                <w:sz w:val="19"/>
              </w:rPr>
              <w:t>16Mg</w:t>
            </w:r>
          </w:p>
        </w:tc>
        <w:tc>
          <w:tcPr>
            <w:tcW w:w="5641" w:type="dxa"/>
            <w:tcBorders>
              <w:right w:val="nil"/>
            </w:tcBorders>
          </w:tcPr>
          <w:p>
            <w:pPr>
              <w:pStyle w:val="TableParagraph"/>
              <w:ind w:left="101"/>
              <w:rPr>
                <w:sz w:val="19"/>
              </w:rPr>
            </w:pPr>
            <w:r>
              <w:rPr>
                <w:color w:val="202020"/>
                <w:sz w:val="19"/>
              </w:rPr>
              <w:t>16Mg</w:t>
            </w:r>
          </w:p>
        </w:tc>
      </w:tr>
      <w:tr>
        <w:trPr>
          <w:trHeight w:val="404" w:hRule="atLeast"/>
        </w:trPr>
        <w:tc>
          <w:tcPr>
            <w:tcW w:w="4275" w:type="dxa"/>
            <w:tcBorders>
              <w:left w:val="single" w:sz="6" w:space="0" w:color="808080"/>
            </w:tcBorders>
          </w:tcPr>
          <w:p>
            <w:pPr>
              <w:pStyle w:val="TableParagraph"/>
              <w:rPr>
                <w:sz w:val="19"/>
              </w:rPr>
            </w:pPr>
            <w:r>
              <w:rPr>
                <w:color w:val="202020"/>
                <w:sz w:val="19"/>
              </w:rPr>
              <w:t>hard disk (HDD)</w:t>
            </w:r>
          </w:p>
        </w:tc>
        <w:tc>
          <w:tcPr>
            <w:tcW w:w="5668" w:type="dxa"/>
          </w:tcPr>
          <w:p>
            <w:pPr>
              <w:pStyle w:val="TableParagraph"/>
              <w:rPr>
                <w:sz w:val="19"/>
              </w:rPr>
            </w:pPr>
            <w:r>
              <w:rPr>
                <w:color w:val="202020"/>
                <w:sz w:val="19"/>
              </w:rPr>
              <w:t>500Mg</w:t>
            </w:r>
          </w:p>
        </w:tc>
        <w:tc>
          <w:tcPr>
            <w:tcW w:w="5641" w:type="dxa"/>
            <w:tcBorders>
              <w:right w:val="nil"/>
            </w:tcBorders>
          </w:tcPr>
          <w:p>
            <w:pPr>
              <w:pStyle w:val="TableParagraph"/>
              <w:ind w:left="101"/>
              <w:rPr>
                <w:sz w:val="19"/>
              </w:rPr>
            </w:pPr>
            <w:r>
              <w:rPr>
                <w:color w:val="202020"/>
                <w:sz w:val="19"/>
              </w:rPr>
              <w:t>1.2Gb</w:t>
            </w:r>
          </w:p>
        </w:tc>
      </w:tr>
      <w:tr>
        <w:trPr>
          <w:trHeight w:val="404" w:hRule="atLeast"/>
        </w:trPr>
        <w:tc>
          <w:tcPr>
            <w:tcW w:w="4275" w:type="dxa"/>
            <w:tcBorders>
              <w:left w:val="single" w:sz="6" w:space="0" w:color="808080"/>
            </w:tcBorders>
          </w:tcPr>
          <w:p>
            <w:pPr>
              <w:pStyle w:val="TableParagraph"/>
              <w:rPr>
                <w:sz w:val="19"/>
              </w:rPr>
            </w:pPr>
            <w:r>
              <w:rPr>
                <w:color w:val="202020"/>
                <w:sz w:val="19"/>
              </w:rPr>
              <w:t>HDD free space</w:t>
            </w:r>
          </w:p>
        </w:tc>
        <w:tc>
          <w:tcPr>
            <w:tcW w:w="5668" w:type="dxa"/>
          </w:tcPr>
          <w:p>
            <w:pPr>
              <w:pStyle w:val="TableParagraph"/>
              <w:rPr>
                <w:sz w:val="19"/>
              </w:rPr>
            </w:pPr>
            <w:r>
              <w:rPr>
                <w:color w:val="202020"/>
                <w:sz w:val="19"/>
              </w:rPr>
              <w:t>150Mg</w:t>
            </w:r>
          </w:p>
        </w:tc>
        <w:tc>
          <w:tcPr>
            <w:tcW w:w="5641" w:type="dxa"/>
            <w:tcBorders>
              <w:right w:val="nil"/>
            </w:tcBorders>
          </w:tcPr>
          <w:p>
            <w:pPr>
              <w:pStyle w:val="TableParagraph"/>
              <w:ind w:left="101"/>
              <w:rPr>
                <w:sz w:val="19"/>
              </w:rPr>
            </w:pPr>
            <w:r>
              <w:rPr>
                <w:color w:val="202020"/>
                <w:sz w:val="19"/>
              </w:rPr>
              <w:t>150Mg</w:t>
            </w:r>
          </w:p>
        </w:tc>
      </w:tr>
      <w:tr>
        <w:trPr>
          <w:trHeight w:val="404" w:hRule="atLeast"/>
        </w:trPr>
        <w:tc>
          <w:tcPr>
            <w:tcW w:w="4275" w:type="dxa"/>
            <w:tcBorders>
              <w:left w:val="single" w:sz="6" w:space="0" w:color="808080"/>
            </w:tcBorders>
          </w:tcPr>
          <w:p>
            <w:pPr>
              <w:pStyle w:val="TableParagraph"/>
              <w:rPr>
                <w:sz w:val="19"/>
              </w:rPr>
            </w:pPr>
            <w:r>
              <w:rPr>
                <w:color w:val="202020"/>
                <w:sz w:val="19"/>
              </w:rPr>
              <w:t>CD ROM</w:t>
            </w:r>
          </w:p>
        </w:tc>
        <w:tc>
          <w:tcPr>
            <w:tcW w:w="5668" w:type="dxa"/>
          </w:tcPr>
          <w:p>
            <w:pPr>
              <w:pStyle w:val="TableParagraph"/>
              <w:rPr>
                <w:sz w:val="19"/>
              </w:rPr>
            </w:pPr>
            <w:r>
              <w:rPr>
                <w:color w:val="202020"/>
                <w:sz w:val="19"/>
              </w:rPr>
              <w:t>yes</w:t>
            </w:r>
          </w:p>
        </w:tc>
        <w:tc>
          <w:tcPr>
            <w:tcW w:w="5641" w:type="dxa"/>
            <w:tcBorders>
              <w:right w:val="nil"/>
            </w:tcBorders>
          </w:tcPr>
          <w:p>
            <w:pPr>
              <w:pStyle w:val="TableParagraph"/>
              <w:ind w:left="101"/>
              <w:rPr>
                <w:sz w:val="19"/>
              </w:rPr>
            </w:pPr>
            <w:r>
              <w:rPr>
                <w:color w:val="202020"/>
                <w:sz w:val="19"/>
              </w:rPr>
              <w:t>yes</w:t>
            </w:r>
          </w:p>
        </w:tc>
      </w:tr>
      <w:tr>
        <w:trPr>
          <w:trHeight w:val="404" w:hRule="atLeast"/>
        </w:trPr>
        <w:tc>
          <w:tcPr>
            <w:tcW w:w="4275" w:type="dxa"/>
            <w:tcBorders>
              <w:left w:val="single" w:sz="6" w:space="0" w:color="808080"/>
            </w:tcBorders>
          </w:tcPr>
          <w:p>
            <w:pPr>
              <w:pStyle w:val="TableParagraph"/>
              <w:rPr>
                <w:sz w:val="19"/>
              </w:rPr>
            </w:pPr>
            <w:r>
              <w:rPr>
                <w:color w:val="202020"/>
                <w:sz w:val="19"/>
              </w:rPr>
              <w:t>modem</w:t>
            </w:r>
          </w:p>
        </w:tc>
        <w:tc>
          <w:tcPr>
            <w:tcW w:w="5668" w:type="dxa"/>
          </w:tcPr>
          <w:p>
            <w:pPr>
              <w:pStyle w:val="TableParagraph"/>
              <w:rPr>
                <w:sz w:val="19"/>
              </w:rPr>
            </w:pPr>
            <w:r>
              <w:rPr>
                <w:color w:val="202020"/>
                <w:sz w:val="19"/>
              </w:rPr>
              <w:t>28.8Kb</w:t>
            </w:r>
          </w:p>
        </w:tc>
        <w:tc>
          <w:tcPr>
            <w:tcW w:w="5641" w:type="dxa"/>
            <w:tcBorders>
              <w:right w:val="nil"/>
            </w:tcBorders>
          </w:tcPr>
          <w:p>
            <w:pPr>
              <w:pStyle w:val="TableParagraph"/>
              <w:ind w:left="101"/>
              <w:rPr>
                <w:sz w:val="19"/>
              </w:rPr>
            </w:pPr>
            <w:r>
              <w:rPr>
                <w:color w:val="202020"/>
                <w:sz w:val="19"/>
              </w:rPr>
              <w:t>28.8Kb</w:t>
            </w:r>
          </w:p>
        </w:tc>
      </w:tr>
      <w:tr>
        <w:trPr>
          <w:trHeight w:val="620" w:hRule="atLeast"/>
        </w:trPr>
        <w:tc>
          <w:tcPr>
            <w:tcW w:w="4275" w:type="dxa"/>
            <w:tcBorders>
              <w:left w:val="single" w:sz="6" w:space="0" w:color="808080"/>
            </w:tcBorders>
          </w:tcPr>
          <w:p>
            <w:pPr>
              <w:pStyle w:val="TableParagraph"/>
              <w:spacing w:line="237" w:lineRule="auto" w:before="93"/>
              <w:ind w:right="2162"/>
              <w:rPr>
                <w:sz w:val="19"/>
              </w:rPr>
            </w:pPr>
            <w:r>
              <w:rPr>
                <w:color w:val="202020"/>
                <w:sz w:val="19"/>
              </w:rPr>
              <w:t>operating system mouse</w:t>
            </w:r>
          </w:p>
        </w:tc>
        <w:tc>
          <w:tcPr>
            <w:tcW w:w="5668" w:type="dxa"/>
          </w:tcPr>
          <w:p>
            <w:pPr>
              <w:pStyle w:val="TableParagraph"/>
              <w:spacing w:line="217" w:lineRule="exact"/>
              <w:rPr>
                <w:sz w:val="19"/>
              </w:rPr>
            </w:pPr>
            <w:r>
              <w:rPr>
                <w:color w:val="202020"/>
                <w:sz w:val="19"/>
              </w:rPr>
              <w:t>Win 95</w:t>
            </w:r>
          </w:p>
          <w:p>
            <w:pPr>
              <w:pStyle w:val="TableParagraph"/>
              <w:spacing w:line="217" w:lineRule="exact" w:before="0"/>
              <w:rPr>
                <w:sz w:val="19"/>
              </w:rPr>
            </w:pPr>
            <w:r>
              <w:rPr>
                <w:color w:val="202020"/>
                <w:sz w:val="19"/>
              </w:rPr>
              <w:t>Win 95 compatible</w:t>
            </w:r>
          </w:p>
        </w:tc>
        <w:tc>
          <w:tcPr>
            <w:tcW w:w="5641" w:type="dxa"/>
            <w:tcBorders>
              <w:right w:val="nil"/>
            </w:tcBorders>
          </w:tcPr>
          <w:p>
            <w:pPr>
              <w:pStyle w:val="TableParagraph"/>
              <w:spacing w:line="217" w:lineRule="exact"/>
              <w:ind w:left="101"/>
              <w:rPr>
                <w:sz w:val="19"/>
              </w:rPr>
            </w:pPr>
            <w:r>
              <w:rPr>
                <w:color w:val="202020"/>
                <w:sz w:val="19"/>
              </w:rPr>
              <w:t>Win 95</w:t>
            </w:r>
          </w:p>
          <w:p>
            <w:pPr>
              <w:pStyle w:val="TableParagraph"/>
              <w:spacing w:line="217" w:lineRule="exact" w:before="0"/>
              <w:ind w:left="101"/>
              <w:rPr>
                <w:sz w:val="19"/>
              </w:rPr>
            </w:pPr>
            <w:r>
              <w:rPr>
                <w:color w:val="202020"/>
                <w:sz w:val="19"/>
              </w:rPr>
              <w:t>Win 95 compatible</w:t>
            </w:r>
          </w:p>
        </w:tc>
      </w:tr>
      <w:tr>
        <w:trPr>
          <w:trHeight w:val="620" w:hRule="atLeast"/>
        </w:trPr>
        <w:tc>
          <w:tcPr>
            <w:tcW w:w="4275" w:type="dxa"/>
            <w:tcBorders>
              <w:left w:val="single" w:sz="6" w:space="0" w:color="808080"/>
            </w:tcBorders>
          </w:tcPr>
          <w:p>
            <w:pPr>
              <w:pStyle w:val="TableParagraph"/>
              <w:spacing w:line="237" w:lineRule="auto" w:before="93"/>
              <w:ind w:right="3464"/>
              <w:rPr>
                <w:sz w:val="19"/>
              </w:rPr>
            </w:pPr>
            <w:r>
              <w:rPr>
                <w:color w:val="202020"/>
                <w:sz w:val="19"/>
              </w:rPr>
              <w:t>browser</w:t>
            </w:r>
            <w:r>
              <w:rPr>
                <w:color w:val="202020"/>
                <w:w w:val="99"/>
                <w:sz w:val="19"/>
              </w:rPr>
              <w:t> </w:t>
            </w:r>
            <w:r>
              <w:rPr>
                <w:color w:val="202020"/>
                <w:sz w:val="19"/>
              </w:rPr>
              <w:t>mouse</w:t>
            </w:r>
          </w:p>
        </w:tc>
        <w:tc>
          <w:tcPr>
            <w:tcW w:w="5668" w:type="dxa"/>
          </w:tcPr>
          <w:p>
            <w:pPr>
              <w:pStyle w:val="TableParagraph"/>
              <w:rPr>
                <w:sz w:val="19"/>
              </w:rPr>
            </w:pPr>
            <w:r>
              <w:rPr>
                <w:color w:val="202020"/>
                <w:sz w:val="19"/>
              </w:rPr>
              <w:t>Microsoft Internet Explorer 4.01*</w:t>
            </w:r>
          </w:p>
        </w:tc>
        <w:tc>
          <w:tcPr>
            <w:tcW w:w="5641" w:type="dxa"/>
            <w:tcBorders>
              <w:right w:val="nil"/>
            </w:tcBorders>
          </w:tcPr>
          <w:p>
            <w:pPr>
              <w:pStyle w:val="TableParagraph"/>
              <w:ind w:left="101"/>
              <w:rPr>
                <w:sz w:val="19"/>
              </w:rPr>
            </w:pPr>
            <w:r>
              <w:rPr>
                <w:color w:val="202020"/>
                <w:sz w:val="19"/>
              </w:rPr>
              <w:t>Microsoft Internet Explorer 4.01*</w:t>
            </w:r>
          </w:p>
        </w:tc>
      </w:tr>
    </w:tbl>
    <w:p>
      <w:pPr>
        <w:pStyle w:val="BodyText"/>
        <w:ind w:left="0"/>
        <w:rPr>
          <w:sz w:val="20"/>
        </w:rPr>
      </w:pPr>
    </w:p>
    <w:p>
      <w:pPr>
        <w:spacing w:line="446" w:lineRule="auto" w:before="173"/>
        <w:ind w:left="108" w:right="9556" w:firstLine="0"/>
        <w:jc w:val="left"/>
        <w:rPr>
          <w:b/>
          <w:sz w:val="19"/>
        </w:rPr>
      </w:pPr>
      <w:r>
        <w:rPr>
          <w:sz w:val="19"/>
        </w:rPr>
        <w:t>* Should the user not have this software it will be provided by AT&amp;amp;T. </w:t>
      </w:r>
      <w:r>
        <w:rPr>
          <w:b/>
          <w:sz w:val="19"/>
        </w:rPr>
        <w:t>Software and Training</w:t>
      </w:r>
    </w:p>
    <w:p>
      <w:pPr>
        <w:pStyle w:val="BodyText"/>
        <w:spacing w:line="237" w:lineRule="auto" w:before="1"/>
        <w:ind w:right="346"/>
      </w:pPr>
      <w:r>
        <w:rPr/>
        <w:t>The software and associated documentation will be provided on CD ROM by AT&amp;T as part of the registration process. Any queries in relation to loading the software and connecting to Tradegate should be directed to the AT&amp;T Help Desk on 131357. Any queries relating to the COMPILE application, such as training, should be directed to the User Liaison section of Customs in your State.</w:t>
      </w:r>
    </w:p>
    <w:p>
      <w:pPr>
        <w:pStyle w:val="BodyText"/>
        <w:spacing w:before="4"/>
        <w:ind w:left="0"/>
        <w:rPr>
          <w:sz w:val="16"/>
        </w:rPr>
      </w:pPr>
    </w:p>
    <w:p>
      <w:pPr>
        <w:pStyle w:val="Heading1"/>
      </w:pPr>
      <w:r>
        <w:rPr/>
        <w:t>Customs User Liaison Contact Phone Numbers</w:t>
      </w:r>
    </w:p>
    <w:p>
      <w:pPr>
        <w:pStyle w:val="BodyText"/>
        <w:spacing w:before="6"/>
        <w:ind w:left="0"/>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638"/>
        <w:gridCol w:w="6954"/>
      </w:tblGrid>
      <w:tr>
        <w:trPr>
          <w:trHeight w:val="404" w:hRule="atLeast"/>
        </w:trPr>
        <w:tc>
          <w:tcPr>
            <w:tcW w:w="8638" w:type="dxa"/>
            <w:tcBorders>
              <w:left w:val="nil"/>
            </w:tcBorders>
          </w:tcPr>
          <w:p>
            <w:pPr>
              <w:pStyle w:val="TableParagraph"/>
              <w:ind w:left="101"/>
              <w:rPr>
                <w:sz w:val="19"/>
              </w:rPr>
            </w:pPr>
            <w:r>
              <w:rPr>
                <w:color w:val="202020"/>
                <w:sz w:val="19"/>
              </w:rPr>
              <w:t>New South Wales</w:t>
            </w:r>
          </w:p>
        </w:tc>
        <w:tc>
          <w:tcPr>
            <w:tcW w:w="6954" w:type="dxa"/>
            <w:tcBorders>
              <w:right w:val="nil"/>
            </w:tcBorders>
          </w:tcPr>
          <w:p>
            <w:pPr>
              <w:pStyle w:val="TableParagraph"/>
              <w:rPr>
                <w:sz w:val="19"/>
              </w:rPr>
            </w:pPr>
            <w:r>
              <w:rPr>
                <w:color w:val="202020"/>
                <w:sz w:val="19"/>
              </w:rPr>
              <w:t>02 9317 7212</w:t>
            </w:r>
          </w:p>
        </w:tc>
      </w:tr>
      <w:tr>
        <w:trPr>
          <w:trHeight w:val="404" w:hRule="atLeast"/>
        </w:trPr>
        <w:tc>
          <w:tcPr>
            <w:tcW w:w="8638" w:type="dxa"/>
            <w:tcBorders>
              <w:left w:val="nil"/>
            </w:tcBorders>
          </w:tcPr>
          <w:p>
            <w:pPr>
              <w:pStyle w:val="TableParagraph"/>
              <w:ind w:left="101"/>
              <w:rPr>
                <w:sz w:val="19"/>
              </w:rPr>
            </w:pPr>
            <w:r>
              <w:rPr>
                <w:color w:val="202020"/>
                <w:sz w:val="19"/>
              </w:rPr>
              <w:t>Victoria</w:t>
            </w:r>
          </w:p>
        </w:tc>
        <w:tc>
          <w:tcPr>
            <w:tcW w:w="6954" w:type="dxa"/>
            <w:tcBorders>
              <w:right w:val="nil"/>
            </w:tcBorders>
          </w:tcPr>
          <w:p>
            <w:pPr>
              <w:pStyle w:val="TableParagraph"/>
              <w:rPr>
                <w:sz w:val="19"/>
              </w:rPr>
            </w:pPr>
            <w:r>
              <w:rPr>
                <w:color w:val="202020"/>
                <w:sz w:val="19"/>
              </w:rPr>
              <w:t>03 9244 8990</w:t>
            </w:r>
          </w:p>
        </w:tc>
      </w:tr>
      <w:tr>
        <w:trPr>
          <w:trHeight w:val="404" w:hRule="atLeast"/>
        </w:trPr>
        <w:tc>
          <w:tcPr>
            <w:tcW w:w="8638" w:type="dxa"/>
            <w:tcBorders>
              <w:left w:val="nil"/>
            </w:tcBorders>
          </w:tcPr>
          <w:p>
            <w:pPr>
              <w:pStyle w:val="TableParagraph"/>
              <w:ind w:left="101"/>
              <w:rPr>
                <w:sz w:val="19"/>
              </w:rPr>
            </w:pPr>
            <w:r>
              <w:rPr>
                <w:color w:val="202020"/>
                <w:sz w:val="19"/>
              </w:rPr>
              <w:t>Queensland</w:t>
            </w:r>
          </w:p>
        </w:tc>
        <w:tc>
          <w:tcPr>
            <w:tcW w:w="6954" w:type="dxa"/>
            <w:tcBorders>
              <w:right w:val="nil"/>
            </w:tcBorders>
          </w:tcPr>
          <w:p>
            <w:pPr>
              <w:pStyle w:val="TableParagraph"/>
              <w:rPr>
                <w:sz w:val="19"/>
              </w:rPr>
            </w:pPr>
            <w:r>
              <w:rPr>
                <w:color w:val="202020"/>
                <w:sz w:val="19"/>
              </w:rPr>
              <w:t>07 3835 3333</w:t>
            </w:r>
          </w:p>
        </w:tc>
      </w:tr>
      <w:tr>
        <w:trPr>
          <w:trHeight w:val="404" w:hRule="atLeast"/>
        </w:trPr>
        <w:tc>
          <w:tcPr>
            <w:tcW w:w="8638" w:type="dxa"/>
            <w:tcBorders>
              <w:left w:val="nil"/>
            </w:tcBorders>
          </w:tcPr>
          <w:p>
            <w:pPr>
              <w:pStyle w:val="TableParagraph"/>
              <w:ind w:left="101"/>
              <w:rPr>
                <w:sz w:val="19"/>
              </w:rPr>
            </w:pPr>
            <w:r>
              <w:rPr>
                <w:color w:val="202020"/>
                <w:sz w:val="19"/>
              </w:rPr>
              <w:t>South Australia</w:t>
            </w:r>
          </w:p>
        </w:tc>
        <w:tc>
          <w:tcPr>
            <w:tcW w:w="6954" w:type="dxa"/>
            <w:tcBorders>
              <w:right w:val="nil"/>
            </w:tcBorders>
          </w:tcPr>
          <w:p>
            <w:pPr>
              <w:pStyle w:val="TableParagraph"/>
              <w:rPr>
                <w:sz w:val="19"/>
              </w:rPr>
            </w:pPr>
            <w:r>
              <w:rPr>
                <w:color w:val="202020"/>
                <w:sz w:val="19"/>
              </w:rPr>
              <w:t>08 8447 9289</w:t>
            </w:r>
          </w:p>
        </w:tc>
      </w:tr>
      <w:tr>
        <w:trPr>
          <w:trHeight w:val="404" w:hRule="atLeast"/>
        </w:trPr>
        <w:tc>
          <w:tcPr>
            <w:tcW w:w="8638" w:type="dxa"/>
            <w:tcBorders>
              <w:left w:val="nil"/>
            </w:tcBorders>
          </w:tcPr>
          <w:p>
            <w:pPr>
              <w:pStyle w:val="TableParagraph"/>
              <w:ind w:left="101"/>
              <w:rPr>
                <w:sz w:val="19"/>
              </w:rPr>
            </w:pPr>
            <w:r>
              <w:rPr>
                <w:color w:val="202020"/>
                <w:sz w:val="19"/>
              </w:rPr>
              <w:t>Western Australia</w:t>
            </w:r>
          </w:p>
        </w:tc>
        <w:tc>
          <w:tcPr>
            <w:tcW w:w="6954" w:type="dxa"/>
            <w:tcBorders>
              <w:right w:val="nil"/>
            </w:tcBorders>
          </w:tcPr>
          <w:p>
            <w:pPr>
              <w:pStyle w:val="TableParagraph"/>
              <w:rPr>
                <w:sz w:val="19"/>
              </w:rPr>
            </w:pPr>
            <w:r>
              <w:rPr>
                <w:color w:val="202020"/>
                <w:sz w:val="19"/>
              </w:rPr>
              <w:t>08 9430 1466</w:t>
            </w:r>
          </w:p>
        </w:tc>
      </w:tr>
      <w:tr>
        <w:trPr>
          <w:trHeight w:val="404" w:hRule="atLeast"/>
        </w:trPr>
        <w:tc>
          <w:tcPr>
            <w:tcW w:w="8638" w:type="dxa"/>
            <w:tcBorders>
              <w:left w:val="nil"/>
            </w:tcBorders>
          </w:tcPr>
          <w:p>
            <w:pPr>
              <w:pStyle w:val="TableParagraph"/>
              <w:ind w:left="101"/>
              <w:rPr>
                <w:sz w:val="19"/>
              </w:rPr>
            </w:pPr>
            <w:r>
              <w:rPr>
                <w:color w:val="202020"/>
                <w:sz w:val="19"/>
              </w:rPr>
              <w:t>Tasmania</w:t>
            </w:r>
          </w:p>
        </w:tc>
        <w:tc>
          <w:tcPr>
            <w:tcW w:w="6954" w:type="dxa"/>
            <w:tcBorders>
              <w:right w:val="nil"/>
            </w:tcBorders>
          </w:tcPr>
          <w:p>
            <w:pPr>
              <w:pStyle w:val="TableParagraph"/>
              <w:rPr>
                <w:sz w:val="19"/>
              </w:rPr>
            </w:pPr>
            <w:r>
              <w:rPr>
                <w:color w:val="202020"/>
                <w:sz w:val="19"/>
              </w:rPr>
              <w:t>03 6230 1231</w:t>
            </w:r>
          </w:p>
        </w:tc>
      </w:tr>
      <w:tr>
        <w:trPr>
          <w:trHeight w:val="315" w:hRule="atLeast"/>
        </w:trPr>
        <w:tc>
          <w:tcPr>
            <w:tcW w:w="8638" w:type="dxa"/>
            <w:tcBorders>
              <w:left w:val="nil"/>
              <w:bottom w:val="nil"/>
            </w:tcBorders>
          </w:tcPr>
          <w:p>
            <w:pPr>
              <w:pStyle w:val="TableParagraph"/>
              <w:spacing w:line="204" w:lineRule="exact"/>
              <w:ind w:left="101"/>
              <w:rPr>
                <w:sz w:val="19"/>
              </w:rPr>
            </w:pPr>
            <w:r>
              <w:rPr>
                <w:color w:val="202020"/>
                <w:sz w:val="19"/>
              </w:rPr>
              <w:t>Northern Territory</w:t>
            </w:r>
          </w:p>
        </w:tc>
        <w:tc>
          <w:tcPr>
            <w:tcW w:w="6954" w:type="dxa"/>
            <w:tcBorders>
              <w:bottom w:val="nil"/>
              <w:right w:val="nil"/>
            </w:tcBorders>
          </w:tcPr>
          <w:p>
            <w:pPr>
              <w:pStyle w:val="TableParagraph"/>
              <w:spacing w:line="204" w:lineRule="exact"/>
              <w:rPr>
                <w:sz w:val="19"/>
              </w:rPr>
            </w:pPr>
            <w:r>
              <w:rPr>
                <w:color w:val="202020"/>
                <w:sz w:val="19"/>
              </w:rPr>
              <w:t>08 8946 9853</w:t>
            </w:r>
          </w:p>
        </w:tc>
      </w:tr>
    </w:tbl>
    <w:p>
      <w:pPr>
        <w:spacing w:after="0" w:line="204" w:lineRule="exact"/>
        <w:rPr>
          <w:sz w:val="19"/>
        </w:rPr>
        <w:sectPr>
          <w:pgSz w:w="16840" w:h="11900" w:orient="landscape"/>
          <w:pgMar w:top="500" w:bottom="280" w:left="580" w:right="440"/>
        </w:sectPr>
      </w:pPr>
    </w:p>
    <w:p>
      <w:pPr>
        <w:pStyle w:val="BodyText"/>
        <w:spacing w:line="67" w:lineRule="exact"/>
        <w:rPr>
          <w:sz w:val="6"/>
        </w:rPr>
      </w:pPr>
      <w:r>
        <w:rPr>
          <w:position w:val="0"/>
          <w:sz w:val="6"/>
        </w:rPr>
        <w:pict>
          <v:group style="width:779.6pt;height:3.4pt;mso-position-horizontal-relative:char;mso-position-vertical-relative:line" coordorigin="0,0" coordsize="15592,68">
            <v:shape style="position:absolute;left:0;top:0;width:15592;height:68" coordorigin="0,0" coordsize="15592,68" path="m15592,54l8645,54,8645,0,8631,0,8631,54,0,54,0,68,8631,68,8645,68,15592,68,15592,54xe" filled="true" fillcolor="#c8c8c8" stroked="false">
              <v:path arrowok="t"/>
              <v:fill type="solid"/>
            </v:shape>
          </v:group>
        </w:pict>
      </w:r>
      <w:r>
        <w:rPr>
          <w:position w:val="0"/>
          <w:sz w:val="6"/>
        </w:rPr>
      </w:r>
    </w:p>
    <w:p>
      <w:pPr>
        <w:pStyle w:val="BodyText"/>
        <w:spacing w:before="2"/>
        <w:ind w:left="0"/>
        <w:rPr>
          <w:b/>
          <w:sz w:val="8"/>
        </w:rPr>
      </w:pPr>
    </w:p>
    <w:p>
      <w:pPr>
        <w:spacing w:before="93"/>
        <w:ind w:left="108" w:right="0" w:firstLine="0"/>
        <w:jc w:val="left"/>
        <w:rPr>
          <w:b/>
          <w:sz w:val="19"/>
        </w:rPr>
      </w:pPr>
      <w:r>
        <w:rPr>
          <w:b/>
          <w:sz w:val="19"/>
        </w:rPr>
        <w:t>Further Information</w:t>
      </w:r>
    </w:p>
    <w:p>
      <w:pPr>
        <w:pStyle w:val="BodyText"/>
        <w:spacing w:line="400" w:lineRule="atLeast" w:before="6"/>
        <w:ind w:right="4085"/>
      </w:pPr>
      <w:r>
        <w:rPr/>
        <w:t>Any queries in relation to this notice should be directed to Ray Carter, Assistant Director, Commercial Entry Applications on 02 6275 6423. Sandra Caligari</w:t>
      </w:r>
    </w:p>
    <w:p>
      <w:pPr>
        <w:pStyle w:val="BodyText"/>
        <w:spacing w:line="217" w:lineRule="exact" w:before="4"/>
      </w:pPr>
      <w:r>
        <w:rPr/>
        <w:t>A/g National Manager</w:t>
      </w:r>
    </w:p>
    <w:p>
      <w:pPr>
        <w:pStyle w:val="BodyText"/>
        <w:spacing w:line="237" w:lineRule="auto" w:before="1"/>
        <w:ind w:right="12479"/>
      </w:pPr>
      <w:r>
        <w:rPr/>
        <w:t>Import-Export Management Branch For Chief Executive Officer</w:t>
      </w:r>
    </w:p>
    <w:p>
      <w:pPr>
        <w:pStyle w:val="BodyText"/>
        <w:spacing w:before="4"/>
        <w:ind w:left="0"/>
        <w:rPr>
          <w:sz w:val="16"/>
        </w:rPr>
      </w:pPr>
    </w:p>
    <w:p>
      <w:pPr>
        <w:pStyle w:val="BodyText"/>
      </w:pPr>
      <w:r>
        <w:rPr/>
        <w:t>July 1998</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2020-12-09T22:57:37Z</dcterms:created>
  <dcterms:modified xsi:type="dcterms:W3CDTF">2020-12-09T22:57:37Z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