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44</w:t>
      </w:r>
    </w:p>
    <w:p>
      <w:pPr>
        <w:spacing w:before="357"/>
        <w:ind w:left="108" w:right="0" w:firstLine="0"/>
        <w:jc w:val="left"/>
        <w:rPr>
          <w:b/>
          <w:sz w:val="32"/>
        </w:rPr>
      </w:pPr>
      <w:r>
        <w:rPr>
          <w:b/>
          <w:color w:val="202020"/>
          <w:sz w:val="32"/>
        </w:rPr>
        <w:t>CUSTOMS BROKERS LICENSING - EDUCATIONAL QUALIFICATIONS</w:t>
      </w:r>
    </w:p>
    <w:p>
      <w:pPr>
        <w:pStyle w:val="BodyText"/>
        <w:spacing w:line="237" w:lineRule="auto" w:before="256"/>
        <w:ind w:right="379"/>
      </w:pPr>
      <w:r>
        <w:rPr/>
        <w:t>Applicants for Customs Brokers Licenses are advised that, following extensive re-assessment by the various TAFE Authorities, a revised Certificate Course has been approved for the purposes of sub-section 183CC(2)(a) of the Customs Act 1901 (the Act).</w:t>
      </w:r>
    </w:p>
    <w:p>
      <w:pPr>
        <w:pStyle w:val="BodyText"/>
        <w:spacing w:before="6"/>
        <w:ind w:left="0"/>
        <w:rPr>
          <w:sz w:val="16"/>
        </w:rPr>
      </w:pPr>
    </w:p>
    <w:p>
      <w:pPr>
        <w:pStyle w:val="BodyText"/>
        <w:spacing w:line="237" w:lineRule="auto"/>
        <w:ind w:right="697"/>
      </w:pPr>
      <w:r>
        <w:rPr/>
        <w:t>The new course of study, approved by me under sub-section 183CC(5) of the Act, is generally known as "Certificate IV in Australian and International Trade Facilitation". Intending licence applicants will be required to have satisfactorily completed fifteen (15) semester units in the approved course as follows:</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293"/>
        <w:gridCol w:w="11946"/>
        <w:gridCol w:w="1354"/>
      </w:tblGrid>
      <w:tr>
        <w:trPr>
          <w:trHeight w:val="404" w:hRule="atLeast"/>
        </w:trPr>
        <w:tc>
          <w:tcPr>
            <w:tcW w:w="2293" w:type="dxa"/>
            <w:tcBorders>
              <w:left w:val="nil"/>
            </w:tcBorders>
          </w:tcPr>
          <w:p>
            <w:pPr>
              <w:pStyle w:val="TableParagraph"/>
              <w:ind w:left="101"/>
              <w:rPr>
                <w:sz w:val="19"/>
              </w:rPr>
            </w:pPr>
            <w:r>
              <w:rPr>
                <w:color w:val="202020"/>
                <w:sz w:val="19"/>
              </w:rPr>
              <w:t>8870A</w:t>
            </w:r>
          </w:p>
        </w:tc>
        <w:tc>
          <w:tcPr>
            <w:tcW w:w="11946" w:type="dxa"/>
          </w:tcPr>
          <w:p>
            <w:pPr>
              <w:pStyle w:val="TableParagraph"/>
              <w:rPr>
                <w:sz w:val="19"/>
              </w:rPr>
            </w:pPr>
            <w:r>
              <w:rPr>
                <w:color w:val="202020"/>
                <w:sz w:val="19"/>
              </w:rPr>
              <w:t>International Trade and Export Procedures</w:t>
            </w:r>
          </w:p>
        </w:tc>
        <w:tc>
          <w:tcPr>
            <w:tcW w:w="1354" w:type="dxa"/>
            <w:tcBorders>
              <w:right w:val="nil"/>
            </w:tcBorders>
          </w:tcPr>
          <w:p>
            <w:pPr>
              <w:pStyle w:val="TableParagraph"/>
              <w:rPr>
                <w:sz w:val="19"/>
              </w:rPr>
            </w:pPr>
            <w:r>
              <w:rPr>
                <w:color w:val="202020"/>
                <w:w w:val="99"/>
                <w:sz w:val="19"/>
              </w:rPr>
              <w:t>1</w:t>
            </w:r>
          </w:p>
        </w:tc>
      </w:tr>
      <w:tr>
        <w:trPr>
          <w:trHeight w:val="404" w:hRule="atLeast"/>
        </w:trPr>
        <w:tc>
          <w:tcPr>
            <w:tcW w:w="2293" w:type="dxa"/>
            <w:tcBorders>
              <w:left w:val="nil"/>
            </w:tcBorders>
          </w:tcPr>
          <w:p>
            <w:pPr>
              <w:pStyle w:val="TableParagraph"/>
              <w:ind w:left="101"/>
              <w:rPr>
                <w:sz w:val="19"/>
              </w:rPr>
            </w:pPr>
            <w:r>
              <w:rPr>
                <w:color w:val="202020"/>
                <w:sz w:val="19"/>
              </w:rPr>
              <w:t>8870BA</w:t>
            </w:r>
          </w:p>
        </w:tc>
        <w:tc>
          <w:tcPr>
            <w:tcW w:w="11946" w:type="dxa"/>
          </w:tcPr>
          <w:p>
            <w:pPr>
              <w:pStyle w:val="TableParagraph"/>
              <w:rPr>
                <w:sz w:val="19"/>
              </w:rPr>
            </w:pPr>
            <w:r>
              <w:rPr>
                <w:color w:val="202020"/>
                <w:sz w:val="19"/>
              </w:rPr>
              <w:t>Permit Issuing Authorities - ANCA</w:t>
            </w:r>
          </w:p>
        </w:tc>
        <w:tc>
          <w:tcPr>
            <w:tcW w:w="1354" w:type="dxa"/>
            <w:tcBorders>
              <w:right w:val="nil"/>
            </w:tcBorders>
          </w:tcPr>
          <w:p>
            <w:pPr>
              <w:pStyle w:val="TableParagraph"/>
              <w:rPr>
                <w:sz w:val="19"/>
              </w:rPr>
            </w:pPr>
            <w:r>
              <w:rPr>
                <w:color w:val="202020"/>
                <w:sz w:val="19"/>
              </w:rPr>
              <w:t>14</w:t>
            </w:r>
          </w:p>
        </w:tc>
      </w:tr>
      <w:tr>
        <w:trPr>
          <w:trHeight w:val="404" w:hRule="atLeast"/>
        </w:trPr>
        <w:tc>
          <w:tcPr>
            <w:tcW w:w="2293" w:type="dxa"/>
            <w:tcBorders>
              <w:left w:val="nil"/>
            </w:tcBorders>
          </w:tcPr>
          <w:p>
            <w:pPr>
              <w:pStyle w:val="TableParagraph"/>
              <w:ind w:left="101"/>
              <w:rPr>
                <w:sz w:val="19"/>
              </w:rPr>
            </w:pPr>
            <w:r>
              <w:rPr>
                <w:color w:val="202020"/>
                <w:sz w:val="19"/>
              </w:rPr>
              <w:t>8870BB</w:t>
            </w:r>
          </w:p>
        </w:tc>
        <w:tc>
          <w:tcPr>
            <w:tcW w:w="11946" w:type="dxa"/>
          </w:tcPr>
          <w:p>
            <w:pPr>
              <w:pStyle w:val="TableParagraph"/>
              <w:rPr>
                <w:sz w:val="19"/>
              </w:rPr>
            </w:pPr>
            <w:r>
              <w:rPr>
                <w:color w:val="202020"/>
                <w:sz w:val="19"/>
              </w:rPr>
              <w:t>Permit Issuing Authorities - Sales Tax</w:t>
            </w:r>
          </w:p>
        </w:tc>
        <w:tc>
          <w:tcPr>
            <w:tcW w:w="1354" w:type="dxa"/>
            <w:tcBorders>
              <w:right w:val="nil"/>
            </w:tcBorders>
          </w:tcPr>
          <w:p>
            <w:pPr>
              <w:pStyle w:val="TableParagraph"/>
              <w:rPr>
                <w:sz w:val="19"/>
              </w:rPr>
            </w:pPr>
            <w:r>
              <w:rPr>
                <w:color w:val="202020"/>
                <w:sz w:val="19"/>
              </w:rPr>
              <w:t>24</w:t>
            </w:r>
          </w:p>
        </w:tc>
      </w:tr>
      <w:tr>
        <w:trPr>
          <w:trHeight w:val="404" w:hRule="atLeast"/>
        </w:trPr>
        <w:tc>
          <w:tcPr>
            <w:tcW w:w="2293" w:type="dxa"/>
            <w:tcBorders>
              <w:left w:val="nil"/>
            </w:tcBorders>
          </w:tcPr>
          <w:p>
            <w:pPr>
              <w:pStyle w:val="TableParagraph"/>
              <w:ind w:left="101"/>
              <w:rPr>
                <w:sz w:val="19"/>
              </w:rPr>
            </w:pPr>
            <w:r>
              <w:rPr>
                <w:color w:val="202020"/>
                <w:sz w:val="19"/>
              </w:rPr>
              <w:t>8870BC</w:t>
            </w:r>
          </w:p>
        </w:tc>
        <w:tc>
          <w:tcPr>
            <w:tcW w:w="11946" w:type="dxa"/>
          </w:tcPr>
          <w:p>
            <w:pPr>
              <w:pStyle w:val="TableParagraph"/>
              <w:rPr>
                <w:sz w:val="19"/>
              </w:rPr>
            </w:pPr>
            <w:r>
              <w:rPr>
                <w:color w:val="202020"/>
                <w:sz w:val="19"/>
              </w:rPr>
              <w:t>Permit Issuing Authorities - AQIS</w:t>
            </w:r>
          </w:p>
        </w:tc>
        <w:tc>
          <w:tcPr>
            <w:tcW w:w="1354" w:type="dxa"/>
            <w:tcBorders>
              <w:right w:val="nil"/>
            </w:tcBorders>
          </w:tcPr>
          <w:p>
            <w:pPr>
              <w:pStyle w:val="TableParagraph"/>
              <w:rPr>
                <w:sz w:val="19"/>
              </w:rPr>
            </w:pPr>
            <w:r>
              <w:rPr>
                <w:color w:val="202020"/>
                <w:sz w:val="19"/>
              </w:rPr>
              <w:t>34</w:t>
            </w:r>
          </w:p>
        </w:tc>
      </w:tr>
      <w:tr>
        <w:trPr>
          <w:trHeight w:val="404" w:hRule="atLeast"/>
        </w:trPr>
        <w:tc>
          <w:tcPr>
            <w:tcW w:w="2293" w:type="dxa"/>
            <w:tcBorders>
              <w:left w:val="nil"/>
            </w:tcBorders>
          </w:tcPr>
          <w:p>
            <w:pPr>
              <w:pStyle w:val="TableParagraph"/>
              <w:ind w:left="101"/>
              <w:rPr>
                <w:sz w:val="19"/>
              </w:rPr>
            </w:pPr>
            <w:r>
              <w:rPr>
                <w:color w:val="202020"/>
                <w:sz w:val="19"/>
              </w:rPr>
              <w:t>8870C</w:t>
            </w:r>
          </w:p>
        </w:tc>
        <w:tc>
          <w:tcPr>
            <w:tcW w:w="11946" w:type="dxa"/>
          </w:tcPr>
          <w:p>
            <w:pPr>
              <w:pStyle w:val="TableParagraph"/>
              <w:rPr>
                <w:sz w:val="19"/>
              </w:rPr>
            </w:pPr>
            <w:r>
              <w:rPr>
                <w:color w:val="202020"/>
                <w:sz w:val="19"/>
              </w:rPr>
              <w:t>Customs Authorities and Functions</w:t>
            </w:r>
          </w:p>
        </w:tc>
        <w:tc>
          <w:tcPr>
            <w:tcW w:w="1354" w:type="dxa"/>
            <w:tcBorders>
              <w:right w:val="nil"/>
            </w:tcBorders>
          </w:tcPr>
          <w:p>
            <w:pPr>
              <w:pStyle w:val="TableParagraph"/>
              <w:rPr>
                <w:sz w:val="19"/>
              </w:rPr>
            </w:pPr>
            <w:r>
              <w:rPr>
                <w:color w:val="202020"/>
                <w:sz w:val="19"/>
              </w:rPr>
              <w:t>46</w:t>
            </w:r>
          </w:p>
        </w:tc>
      </w:tr>
      <w:tr>
        <w:trPr>
          <w:trHeight w:val="404" w:hRule="atLeast"/>
        </w:trPr>
        <w:tc>
          <w:tcPr>
            <w:tcW w:w="2293" w:type="dxa"/>
            <w:tcBorders>
              <w:left w:val="nil"/>
            </w:tcBorders>
          </w:tcPr>
          <w:p>
            <w:pPr>
              <w:pStyle w:val="TableParagraph"/>
              <w:ind w:left="101"/>
              <w:rPr>
                <w:sz w:val="19"/>
              </w:rPr>
            </w:pPr>
            <w:r>
              <w:rPr>
                <w:color w:val="202020"/>
                <w:sz w:val="19"/>
              </w:rPr>
              <w:t>8870D</w:t>
            </w:r>
          </w:p>
        </w:tc>
        <w:tc>
          <w:tcPr>
            <w:tcW w:w="11946" w:type="dxa"/>
          </w:tcPr>
          <w:p>
            <w:pPr>
              <w:pStyle w:val="TableParagraph"/>
              <w:rPr>
                <w:sz w:val="19"/>
              </w:rPr>
            </w:pPr>
            <w:r>
              <w:rPr>
                <w:color w:val="202020"/>
                <w:sz w:val="19"/>
              </w:rPr>
              <w:t>Customs Clearance Practices</w:t>
            </w:r>
          </w:p>
        </w:tc>
        <w:tc>
          <w:tcPr>
            <w:tcW w:w="1354" w:type="dxa"/>
            <w:tcBorders>
              <w:right w:val="nil"/>
            </w:tcBorders>
          </w:tcPr>
          <w:p>
            <w:pPr>
              <w:pStyle w:val="TableParagraph"/>
              <w:rPr>
                <w:sz w:val="19"/>
              </w:rPr>
            </w:pPr>
            <w:r>
              <w:rPr>
                <w:color w:val="202020"/>
                <w:sz w:val="19"/>
              </w:rPr>
              <w:t>58</w:t>
            </w:r>
          </w:p>
        </w:tc>
      </w:tr>
      <w:tr>
        <w:trPr>
          <w:trHeight w:val="404" w:hRule="atLeast"/>
        </w:trPr>
        <w:tc>
          <w:tcPr>
            <w:tcW w:w="2293" w:type="dxa"/>
            <w:tcBorders>
              <w:left w:val="nil"/>
            </w:tcBorders>
          </w:tcPr>
          <w:p>
            <w:pPr>
              <w:pStyle w:val="TableParagraph"/>
              <w:ind w:left="101"/>
              <w:rPr>
                <w:sz w:val="19"/>
              </w:rPr>
            </w:pPr>
            <w:r>
              <w:rPr>
                <w:color w:val="202020"/>
                <w:sz w:val="19"/>
              </w:rPr>
              <w:t>8870E</w:t>
            </w:r>
          </w:p>
        </w:tc>
        <w:tc>
          <w:tcPr>
            <w:tcW w:w="11946" w:type="dxa"/>
          </w:tcPr>
          <w:p>
            <w:pPr>
              <w:pStyle w:val="TableParagraph"/>
              <w:rPr>
                <w:sz w:val="19"/>
              </w:rPr>
            </w:pPr>
            <w:r>
              <w:rPr>
                <w:color w:val="202020"/>
                <w:sz w:val="19"/>
              </w:rPr>
              <w:t>Customs Valuation</w:t>
            </w:r>
          </w:p>
        </w:tc>
        <w:tc>
          <w:tcPr>
            <w:tcW w:w="1354" w:type="dxa"/>
            <w:tcBorders>
              <w:right w:val="nil"/>
            </w:tcBorders>
          </w:tcPr>
          <w:p>
            <w:pPr>
              <w:pStyle w:val="TableParagraph"/>
              <w:rPr>
                <w:sz w:val="19"/>
              </w:rPr>
            </w:pPr>
            <w:r>
              <w:rPr>
                <w:color w:val="202020"/>
                <w:sz w:val="19"/>
              </w:rPr>
              <w:t>72</w:t>
            </w:r>
          </w:p>
        </w:tc>
      </w:tr>
      <w:tr>
        <w:trPr>
          <w:trHeight w:val="404" w:hRule="atLeast"/>
        </w:trPr>
        <w:tc>
          <w:tcPr>
            <w:tcW w:w="2293" w:type="dxa"/>
            <w:tcBorders>
              <w:left w:val="nil"/>
            </w:tcBorders>
          </w:tcPr>
          <w:p>
            <w:pPr>
              <w:pStyle w:val="TableParagraph"/>
              <w:ind w:left="101"/>
              <w:rPr>
                <w:sz w:val="19"/>
              </w:rPr>
            </w:pPr>
            <w:r>
              <w:rPr>
                <w:color w:val="202020"/>
                <w:sz w:val="19"/>
              </w:rPr>
              <w:t>8870F</w:t>
            </w:r>
          </w:p>
        </w:tc>
        <w:tc>
          <w:tcPr>
            <w:tcW w:w="11946" w:type="dxa"/>
          </w:tcPr>
          <w:p>
            <w:pPr>
              <w:pStyle w:val="TableParagraph"/>
              <w:rPr>
                <w:sz w:val="19"/>
              </w:rPr>
            </w:pPr>
            <w:r>
              <w:rPr>
                <w:color w:val="202020"/>
                <w:sz w:val="19"/>
              </w:rPr>
              <w:t>Customs Tariff 1</w:t>
            </w:r>
          </w:p>
        </w:tc>
        <w:tc>
          <w:tcPr>
            <w:tcW w:w="1354" w:type="dxa"/>
            <w:tcBorders>
              <w:right w:val="nil"/>
            </w:tcBorders>
          </w:tcPr>
          <w:p>
            <w:pPr>
              <w:pStyle w:val="TableParagraph"/>
              <w:rPr>
                <w:sz w:val="19"/>
              </w:rPr>
            </w:pPr>
            <w:r>
              <w:rPr>
                <w:color w:val="202020"/>
                <w:sz w:val="19"/>
              </w:rPr>
              <w:t>84</w:t>
            </w:r>
          </w:p>
        </w:tc>
      </w:tr>
      <w:tr>
        <w:trPr>
          <w:trHeight w:val="404" w:hRule="atLeast"/>
        </w:trPr>
        <w:tc>
          <w:tcPr>
            <w:tcW w:w="2293" w:type="dxa"/>
            <w:tcBorders>
              <w:left w:val="nil"/>
            </w:tcBorders>
          </w:tcPr>
          <w:p>
            <w:pPr>
              <w:pStyle w:val="TableParagraph"/>
              <w:ind w:left="101"/>
              <w:rPr>
                <w:sz w:val="19"/>
              </w:rPr>
            </w:pPr>
            <w:r>
              <w:rPr>
                <w:color w:val="202020"/>
                <w:sz w:val="19"/>
              </w:rPr>
              <w:t>8870G</w:t>
            </w:r>
          </w:p>
        </w:tc>
        <w:tc>
          <w:tcPr>
            <w:tcW w:w="11946" w:type="dxa"/>
          </w:tcPr>
          <w:p>
            <w:pPr>
              <w:pStyle w:val="TableParagraph"/>
              <w:rPr>
                <w:sz w:val="19"/>
              </w:rPr>
            </w:pPr>
            <w:r>
              <w:rPr>
                <w:color w:val="202020"/>
                <w:sz w:val="19"/>
              </w:rPr>
              <w:t>Customs Tariff 11</w:t>
            </w:r>
          </w:p>
        </w:tc>
        <w:tc>
          <w:tcPr>
            <w:tcW w:w="1354" w:type="dxa"/>
            <w:tcBorders>
              <w:right w:val="nil"/>
            </w:tcBorders>
          </w:tcPr>
          <w:p>
            <w:pPr>
              <w:pStyle w:val="TableParagraph"/>
              <w:rPr>
                <w:sz w:val="19"/>
              </w:rPr>
            </w:pPr>
            <w:r>
              <w:rPr>
                <w:color w:val="202020"/>
                <w:sz w:val="19"/>
              </w:rPr>
              <w:t>96</w:t>
            </w:r>
          </w:p>
        </w:tc>
      </w:tr>
      <w:tr>
        <w:trPr>
          <w:trHeight w:val="404" w:hRule="atLeast"/>
        </w:trPr>
        <w:tc>
          <w:tcPr>
            <w:tcW w:w="2293" w:type="dxa"/>
            <w:tcBorders>
              <w:left w:val="nil"/>
            </w:tcBorders>
          </w:tcPr>
          <w:p>
            <w:pPr>
              <w:pStyle w:val="TableParagraph"/>
              <w:ind w:left="101"/>
              <w:rPr>
                <w:sz w:val="19"/>
              </w:rPr>
            </w:pPr>
            <w:r>
              <w:rPr>
                <w:color w:val="202020"/>
                <w:sz w:val="19"/>
              </w:rPr>
              <w:t>8870H</w:t>
            </w:r>
          </w:p>
        </w:tc>
        <w:tc>
          <w:tcPr>
            <w:tcW w:w="11946" w:type="dxa"/>
          </w:tcPr>
          <w:p>
            <w:pPr>
              <w:pStyle w:val="TableParagraph"/>
              <w:rPr>
                <w:sz w:val="19"/>
              </w:rPr>
            </w:pPr>
            <w:r>
              <w:rPr>
                <w:color w:val="202020"/>
                <w:sz w:val="19"/>
              </w:rPr>
              <w:t>Advanced Customs Broking</w:t>
            </w:r>
          </w:p>
        </w:tc>
        <w:tc>
          <w:tcPr>
            <w:tcW w:w="1354" w:type="dxa"/>
            <w:tcBorders>
              <w:right w:val="nil"/>
            </w:tcBorders>
          </w:tcPr>
          <w:p>
            <w:pPr>
              <w:pStyle w:val="TableParagraph"/>
              <w:rPr>
                <w:sz w:val="19"/>
              </w:rPr>
            </w:pPr>
            <w:r>
              <w:rPr>
                <w:color w:val="202020"/>
                <w:sz w:val="19"/>
              </w:rPr>
              <w:t>106</w:t>
            </w:r>
          </w:p>
        </w:tc>
      </w:tr>
      <w:tr>
        <w:trPr>
          <w:trHeight w:val="404" w:hRule="atLeast"/>
        </w:trPr>
        <w:tc>
          <w:tcPr>
            <w:tcW w:w="2293" w:type="dxa"/>
            <w:tcBorders>
              <w:left w:val="nil"/>
            </w:tcBorders>
          </w:tcPr>
          <w:p>
            <w:pPr>
              <w:pStyle w:val="TableParagraph"/>
              <w:ind w:left="101"/>
              <w:rPr>
                <w:sz w:val="19"/>
              </w:rPr>
            </w:pPr>
            <w:r>
              <w:rPr>
                <w:color w:val="202020"/>
                <w:sz w:val="19"/>
              </w:rPr>
              <w:t>8979A</w:t>
            </w:r>
          </w:p>
        </w:tc>
        <w:tc>
          <w:tcPr>
            <w:tcW w:w="11946" w:type="dxa"/>
          </w:tcPr>
          <w:p>
            <w:pPr>
              <w:pStyle w:val="TableParagraph"/>
              <w:rPr>
                <w:sz w:val="19"/>
              </w:rPr>
            </w:pPr>
            <w:r>
              <w:rPr>
                <w:color w:val="202020"/>
                <w:sz w:val="19"/>
              </w:rPr>
              <w:t>Presenting Information</w:t>
            </w:r>
          </w:p>
        </w:tc>
        <w:tc>
          <w:tcPr>
            <w:tcW w:w="1354" w:type="dxa"/>
            <w:tcBorders>
              <w:right w:val="nil"/>
            </w:tcBorders>
          </w:tcPr>
          <w:p>
            <w:pPr>
              <w:pStyle w:val="TableParagraph"/>
              <w:rPr>
                <w:sz w:val="19"/>
              </w:rPr>
            </w:pPr>
            <w:r>
              <w:rPr>
                <w:color w:val="202020"/>
                <w:sz w:val="19"/>
              </w:rPr>
              <w:t>116</w:t>
            </w:r>
          </w:p>
        </w:tc>
      </w:tr>
      <w:tr>
        <w:trPr>
          <w:trHeight w:val="404" w:hRule="atLeast"/>
        </w:trPr>
        <w:tc>
          <w:tcPr>
            <w:tcW w:w="2293" w:type="dxa"/>
            <w:tcBorders>
              <w:left w:val="nil"/>
            </w:tcBorders>
          </w:tcPr>
          <w:p>
            <w:pPr>
              <w:pStyle w:val="TableParagraph"/>
              <w:ind w:left="101"/>
              <w:rPr>
                <w:sz w:val="19"/>
              </w:rPr>
            </w:pPr>
            <w:r>
              <w:rPr>
                <w:color w:val="202020"/>
                <w:sz w:val="19"/>
              </w:rPr>
              <w:t>8672D</w:t>
            </w:r>
          </w:p>
        </w:tc>
        <w:tc>
          <w:tcPr>
            <w:tcW w:w="11946" w:type="dxa"/>
          </w:tcPr>
          <w:p>
            <w:pPr>
              <w:pStyle w:val="TableParagraph"/>
              <w:rPr>
                <w:sz w:val="19"/>
              </w:rPr>
            </w:pPr>
            <w:r>
              <w:rPr>
                <w:color w:val="202020"/>
                <w:sz w:val="19"/>
              </w:rPr>
              <w:t>Commercial Law 1</w:t>
            </w:r>
          </w:p>
        </w:tc>
        <w:tc>
          <w:tcPr>
            <w:tcW w:w="1354" w:type="dxa"/>
            <w:tcBorders>
              <w:right w:val="nil"/>
            </w:tcBorders>
          </w:tcPr>
          <w:p>
            <w:pPr>
              <w:pStyle w:val="TableParagraph"/>
              <w:rPr>
                <w:sz w:val="19"/>
              </w:rPr>
            </w:pPr>
            <w:r>
              <w:rPr>
                <w:color w:val="202020"/>
                <w:sz w:val="19"/>
              </w:rPr>
              <w:t>140</w:t>
            </w:r>
          </w:p>
        </w:tc>
      </w:tr>
      <w:tr>
        <w:trPr>
          <w:trHeight w:val="404" w:hRule="atLeast"/>
        </w:trPr>
        <w:tc>
          <w:tcPr>
            <w:tcW w:w="2293" w:type="dxa"/>
            <w:tcBorders>
              <w:left w:val="nil"/>
            </w:tcBorders>
          </w:tcPr>
          <w:p>
            <w:pPr>
              <w:pStyle w:val="TableParagraph"/>
              <w:ind w:left="101"/>
              <w:rPr>
                <w:sz w:val="19"/>
              </w:rPr>
            </w:pPr>
            <w:r>
              <w:rPr>
                <w:color w:val="202020"/>
                <w:sz w:val="19"/>
              </w:rPr>
              <w:t>8656J</w:t>
            </w:r>
          </w:p>
        </w:tc>
        <w:tc>
          <w:tcPr>
            <w:tcW w:w="11946" w:type="dxa"/>
          </w:tcPr>
          <w:p>
            <w:pPr>
              <w:pStyle w:val="TableParagraph"/>
              <w:rPr>
                <w:sz w:val="19"/>
              </w:rPr>
            </w:pPr>
            <w:r>
              <w:rPr>
                <w:color w:val="202020"/>
                <w:sz w:val="19"/>
              </w:rPr>
              <w:t>Accounting for Non-Accountants</w:t>
            </w:r>
          </w:p>
        </w:tc>
        <w:tc>
          <w:tcPr>
            <w:tcW w:w="1354" w:type="dxa"/>
            <w:tcBorders>
              <w:right w:val="nil"/>
            </w:tcBorders>
          </w:tcPr>
          <w:p>
            <w:pPr>
              <w:pStyle w:val="TableParagraph"/>
              <w:rPr>
                <w:sz w:val="19"/>
              </w:rPr>
            </w:pPr>
            <w:r>
              <w:rPr>
                <w:color w:val="202020"/>
                <w:sz w:val="19"/>
              </w:rPr>
              <w:t>160</w:t>
            </w:r>
          </w:p>
        </w:tc>
      </w:tr>
      <w:tr>
        <w:trPr>
          <w:trHeight w:val="404" w:hRule="atLeast"/>
        </w:trPr>
        <w:tc>
          <w:tcPr>
            <w:tcW w:w="2293" w:type="dxa"/>
            <w:tcBorders>
              <w:left w:val="nil"/>
            </w:tcBorders>
          </w:tcPr>
          <w:p>
            <w:pPr>
              <w:pStyle w:val="TableParagraph"/>
              <w:ind w:left="101"/>
              <w:rPr>
                <w:sz w:val="19"/>
              </w:rPr>
            </w:pPr>
            <w:r>
              <w:rPr>
                <w:color w:val="202020"/>
                <w:sz w:val="19"/>
              </w:rPr>
              <w:t>8767P</w:t>
            </w:r>
          </w:p>
        </w:tc>
        <w:tc>
          <w:tcPr>
            <w:tcW w:w="11946" w:type="dxa"/>
          </w:tcPr>
          <w:p>
            <w:pPr>
              <w:pStyle w:val="TableParagraph"/>
              <w:rPr>
                <w:sz w:val="19"/>
              </w:rPr>
            </w:pPr>
            <w:r>
              <w:rPr>
                <w:color w:val="202020"/>
                <w:sz w:val="19"/>
              </w:rPr>
              <w:t>Managing Operations - Customer Services</w:t>
            </w:r>
          </w:p>
        </w:tc>
        <w:tc>
          <w:tcPr>
            <w:tcW w:w="1354" w:type="dxa"/>
            <w:tcBorders>
              <w:right w:val="nil"/>
            </w:tcBorders>
          </w:tcPr>
          <w:p>
            <w:pPr>
              <w:pStyle w:val="TableParagraph"/>
              <w:rPr>
                <w:sz w:val="19"/>
              </w:rPr>
            </w:pPr>
            <w:r>
              <w:rPr>
                <w:color w:val="202020"/>
                <w:sz w:val="19"/>
              </w:rPr>
              <w:t>186</w:t>
            </w:r>
          </w:p>
        </w:tc>
      </w:tr>
      <w:tr>
        <w:trPr>
          <w:trHeight w:val="404" w:hRule="atLeast"/>
        </w:trPr>
        <w:tc>
          <w:tcPr>
            <w:tcW w:w="2293" w:type="dxa"/>
            <w:tcBorders>
              <w:left w:val="nil"/>
            </w:tcBorders>
          </w:tcPr>
          <w:p>
            <w:pPr>
              <w:pStyle w:val="TableParagraph"/>
              <w:ind w:left="101"/>
              <w:rPr>
                <w:sz w:val="19"/>
              </w:rPr>
            </w:pPr>
            <w:r>
              <w:rPr>
                <w:color w:val="202020"/>
                <w:sz w:val="19"/>
              </w:rPr>
              <w:t>8767Q</w:t>
            </w:r>
          </w:p>
        </w:tc>
        <w:tc>
          <w:tcPr>
            <w:tcW w:w="11946" w:type="dxa"/>
          </w:tcPr>
          <w:p>
            <w:pPr>
              <w:pStyle w:val="TableParagraph"/>
              <w:rPr>
                <w:sz w:val="19"/>
              </w:rPr>
            </w:pPr>
            <w:r>
              <w:rPr>
                <w:color w:val="202020"/>
                <w:sz w:val="19"/>
              </w:rPr>
              <w:t>Managing and Organising Work - Goal Achievement</w:t>
            </w:r>
          </w:p>
        </w:tc>
        <w:tc>
          <w:tcPr>
            <w:tcW w:w="1354" w:type="dxa"/>
            <w:tcBorders>
              <w:right w:val="nil"/>
            </w:tcBorders>
          </w:tcPr>
          <w:p>
            <w:pPr>
              <w:pStyle w:val="TableParagraph"/>
              <w:rPr>
                <w:sz w:val="19"/>
              </w:rPr>
            </w:pPr>
            <w:r>
              <w:rPr>
                <w:color w:val="202020"/>
                <w:sz w:val="19"/>
              </w:rPr>
              <w:t>198</w:t>
            </w:r>
          </w:p>
        </w:tc>
      </w:tr>
    </w:tbl>
    <w:p>
      <w:pPr>
        <w:pStyle w:val="BodyText"/>
        <w:spacing w:before="4"/>
        <w:ind w:left="0"/>
        <w:rPr>
          <w:sz w:val="16"/>
        </w:rPr>
      </w:pPr>
    </w:p>
    <w:p>
      <w:pPr>
        <w:pStyle w:val="BodyText"/>
        <w:spacing w:line="237" w:lineRule="auto" w:before="1"/>
        <w:ind w:right="664"/>
      </w:pPr>
      <w:r>
        <w:rPr/>
        <w:t>The Customs Brokers Council of Australia Inc (CBCA) has advised that it will be necessary for students studying the current approved course of study to enrol in the new approved course of study at their local TAFE as soon as possible. Modules from the current approved course of study will be cross credited to those in the new course by the relevant TAFE Authorities upon enrolment.</w:t>
      </w:r>
    </w:p>
    <w:p>
      <w:pPr>
        <w:pStyle w:val="BodyText"/>
        <w:spacing w:before="3"/>
        <w:ind w:left="0"/>
        <w:rPr>
          <w:sz w:val="16"/>
        </w:rPr>
      </w:pPr>
    </w:p>
    <w:p>
      <w:pPr>
        <w:pStyle w:val="BodyText"/>
        <w:spacing w:before="1"/>
      </w:pPr>
      <w:r>
        <w:rPr/>
        <w:t>Further details of the new course will be available through the CBCA's National Training Manager whose address appears at </w:t>
      </w:r>
      <w:hyperlink r:id="rId5">
        <w:r>
          <w:rPr>
            <w:color w:val="0F64C7"/>
          </w:rPr>
          <w:t>Attachment A </w:t>
        </w:r>
      </w:hyperlink>
      <w:r>
        <w:rPr/>
        <w:t>to this Australian Customs Notice (ACN).</w:t>
      </w:r>
    </w:p>
    <w:p>
      <w:pPr>
        <w:spacing w:after="0"/>
        <w:sectPr>
          <w:type w:val="continuous"/>
          <w:pgSz w:w="16840" w:h="11900" w:orient="landscape"/>
          <w:pgMar w:top="680" w:bottom="280" w:left="580" w:right="440"/>
        </w:sectPr>
      </w:pPr>
    </w:p>
    <w:p>
      <w:pPr>
        <w:pStyle w:val="BodyText"/>
        <w:spacing w:line="237" w:lineRule="auto" w:before="79"/>
        <w:ind w:right="325"/>
      </w:pPr>
      <w:r>
        <w:rPr/>
        <w:t>Should anyone have difficulty in aligning a particular course or unit offered by a TAFE institution with the approved course that person should direct inquiries, in the first instance, to the CBCA's National Training Manager.</w:t>
      </w:r>
    </w:p>
    <w:p>
      <w:pPr>
        <w:pStyle w:val="BodyText"/>
        <w:spacing w:before="6"/>
        <w:ind w:left="0"/>
        <w:rPr>
          <w:sz w:val="16"/>
        </w:rPr>
      </w:pPr>
    </w:p>
    <w:p>
      <w:pPr>
        <w:pStyle w:val="BodyText"/>
        <w:spacing w:line="237" w:lineRule="auto"/>
        <w:ind w:right="253"/>
      </w:pPr>
      <w:r>
        <w:rPr/>
        <w:t>In considering the requirements of sub-section183CC(2)(b) of the Act which relates to "acquired experience", I am prepared to accept that a person who has successfully completed the National Examination conducted by the CBCA, has "acquired experience" which would fit that person to be licensed as a Customs Broker.</w:t>
      </w:r>
    </w:p>
    <w:p>
      <w:pPr>
        <w:pStyle w:val="BodyText"/>
        <w:spacing w:before="5"/>
        <w:ind w:left="0"/>
        <w:rPr>
          <w:sz w:val="16"/>
        </w:rPr>
      </w:pPr>
    </w:p>
    <w:p>
      <w:pPr>
        <w:pStyle w:val="BodyText"/>
        <w:spacing w:line="237" w:lineRule="auto" w:before="1"/>
        <w:ind w:right="228"/>
      </w:pPr>
      <w:r>
        <w:rPr/>
        <w:t>The National Customs Agents Licensing Advisory Committee when considering the applicant's claims as to "acquired experience" can be expected to apply an assessment which would cover the range of criteria involved in the National Examination. For example the NCALAC would expect that the applicant would be fully conversant with:</w:t>
      </w:r>
    </w:p>
    <w:p>
      <w:pPr>
        <w:pStyle w:val="BodyText"/>
        <w:spacing w:before="3"/>
        <w:ind w:left="0"/>
        <w:rPr>
          <w:sz w:val="16"/>
        </w:rPr>
      </w:pPr>
    </w:p>
    <w:p>
      <w:pPr>
        <w:pStyle w:val="BodyText"/>
        <w:spacing w:line="217" w:lineRule="exact" w:before="1"/>
        <w:ind w:left="373"/>
      </w:pPr>
      <w:r>
        <w:rPr/>
        <w:pict>
          <v:shape style="position:absolute;margin-left:37.793461pt;margin-top:4.902379pt;width:2.75pt;height:2.75pt;mso-position-horizontal-relative:page;mso-position-vertical-relative:paragraph;z-index:15728640" coordorigin="756,98" coordsize="55,55" path="m801,152l765,152,756,143,756,107,765,98,801,98,810,107,810,125,810,143,801,152xe" filled="true" fillcolor="#000000" stroked="false">
            <v:path arrowok="t"/>
            <v:fill type="solid"/>
            <w10:wrap type="none"/>
          </v:shape>
        </w:pict>
      </w:r>
      <w:r>
        <w:rPr/>
        <w:t>how to classify imported goods;</w:t>
      </w:r>
    </w:p>
    <w:p>
      <w:pPr>
        <w:pStyle w:val="BodyText"/>
        <w:spacing w:line="237" w:lineRule="auto"/>
        <w:ind w:left="373" w:right="4725"/>
      </w:pPr>
      <w:r>
        <w:rPr/>
        <w:pict>
          <v:shape style="position:absolute;margin-left:37.793461pt;margin-top:4.763267pt;width:2.75pt;height:2.75pt;mso-position-horizontal-relative:page;mso-position-vertical-relative:paragraph;z-index:15729152"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6pt;width:2.75pt;height:2.75pt;mso-position-horizontal-relative:page;mso-position-vertical-relative:paragraph;z-index:15729664" coordorigin="756,312" coordsize="55,55" path="m801,366l765,366,756,357,756,321,765,312,801,312,810,321,810,339,810,357,801,366xe" filled="true" fillcolor="#000000" stroked="false">
            <v:path arrowok="t"/>
            <v:fill type="solid"/>
            <w10:wrap type="none"/>
          </v:shape>
        </w:pict>
      </w:r>
      <w:r>
        <w:rPr/>
        <w:t>how to determine the value of goods for the purposes of calculating the amount of Customs duty payable on imported goods; the impact of sales tax on imported goods;</w:t>
      </w:r>
    </w:p>
    <w:p>
      <w:pPr>
        <w:pStyle w:val="BodyText"/>
        <w:spacing w:line="237" w:lineRule="auto" w:before="1"/>
        <w:ind w:left="373" w:right="6072"/>
      </w:pPr>
      <w:r>
        <w:rPr/>
        <w:pict>
          <v:shape style="position:absolute;margin-left:37.793461pt;margin-top:4.813259pt;width:2.75pt;height:2.75pt;mso-position-horizontal-relative:page;mso-position-vertical-relative:paragraph;z-index:15730176"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9pt;width:2.75pt;height:2.75pt;mso-position-horizontal-relative:page;mso-position-vertical-relative:paragraph;z-index:15730688" coordorigin="756,313" coordsize="55,55" path="m801,367l765,367,756,358,756,322,765,313,801,313,810,322,810,340,810,358,801,367xe" filled="true" fillcolor="#000000" stroked="false">
            <v:path arrowok="t"/>
            <v:fill type="solid"/>
            <w10:wrap type="none"/>
          </v:shape>
        </w:pict>
      </w:r>
      <w:r>
        <w:rPr/>
        <w:pict>
          <v:shape style="position:absolute;margin-left:37.793461pt;margin-top:26.458698pt;width:2.75pt;height:2.75pt;mso-position-horizontal-relative:page;mso-position-vertical-relative:paragraph;z-index:15731200" coordorigin="756,529" coordsize="55,55" path="m801,583l765,583,756,574,756,538,765,529,801,529,810,538,810,556,810,574,801,583xe" filled="true" fillcolor="#000000" stroked="false">
            <v:path arrowok="t"/>
            <v:fill type="solid"/>
            <w10:wrap type="none"/>
          </v:shape>
        </w:pict>
      </w:r>
      <w:r>
        <w:rPr/>
        <w:t>how to determine the type of marine insurance cover necessary and appropriate for a particular importation; how</w:t>
      </w:r>
      <w:r>
        <w:rPr>
          <w:spacing w:val="-3"/>
        </w:rPr>
        <w:t> </w:t>
      </w:r>
      <w:r>
        <w:rPr/>
        <w:t>and</w:t>
      </w:r>
      <w:r>
        <w:rPr>
          <w:spacing w:val="-2"/>
        </w:rPr>
        <w:t> </w:t>
      </w:r>
      <w:r>
        <w:rPr/>
        <w:t>when</w:t>
      </w:r>
      <w:r>
        <w:rPr>
          <w:spacing w:val="-3"/>
        </w:rPr>
        <w:t> </w:t>
      </w:r>
      <w:r>
        <w:rPr/>
        <w:t>drawback</w:t>
      </w:r>
      <w:r>
        <w:rPr>
          <w:spacing w:val="-2"/>
        </w:rPr>
        <w:t> </w:t>
      </w:r>
      <w:r>
        <w:rPr/>
        <w:t>of</w:t>
      </w:r>
      <w:r>
        <w:rPr>
          <w:spacing w:val="-3"/>
        </w:rPr>
        <w:t> </w:t>
      </w:r>
      <w:r>
        <w:rPr/>
        <w:t>Customs</w:t>
      </w:r>
      <w:r>
        <w:rPr>
          <w:spacing w:val="-2"/>
        </w:rPr>
        <w:t> </w:t>
      </w:r>
      <w:r>
        <w:rPr/>
        <w:t>duties</w:t>
      </w:r>
      <w:r>
        <w:rPr>
          <w:spacing w:val="-3"/>
        </w:rPr>
        <w:t> </w:t>
      </w:r>
      <w:r>
        <w:rPr/>
        <w:t>may</w:t>
      </w:r>
      <w:r>
        <w:rPr>
          <w:spacing w:val="-2"/>
        </w:rPr>
        <w:t> </w:t>
      </w:r>
      <w:r>
        <w:rPr/>
        <w:t>be</w:t>
      </w:r>
      <w:r>
        <w:rPr>
          <w:spacing w:val="-3"/>
        </w:rPr>
        <w:t> </w:t>
      </w:r>
      <w:r>
        <w:rPr/>
        <w:t>claimed</w:t>
      </w:r>
      <w:r>
        <w:rPr>
          <w:spacing w:val="-2"/>
        </w:rPr>
        <w:t> </w:t>
      </w:r>
      <w:r>
        <w:rPr/>
        <w:t>and</w:t>
      </w:r>
      <w:r>
        <w:rPr>
          <w:spacing w:val="-3"/>
        </w:rPr>
        <w:t> </w:t>
      </w:r>
      <w:r>
        <w:rPr/>
        <w:t>how</w:t>
      </w:r>
      <w:r>
        <w:rPr>
          <w:spacing w:val="-2"/>
        </w:rPr>
        <w:t> </w:t>
      </w:r>
      <w:r>
        <w:rPr/>
        <w:t>to</w:t>
      </w:r>
      <w:r>
        <w:rPr>
          <w:spacing w:val="-2"/>
        </w:rPr>
        <w:t> </w:t>
      </w:r>
      <w:r>
        <w:rPr/>
        <w:t>prepare</w:t>
      </w:r>
      <w:r>
        <w:rPr>
          <w:spacing w:val="-3"/>
        </w:rPr>
        <w:t> </w:t>
      </w:r>
      <w:r>
        <w:rPr/>
        <w:t>and</w:t>
      </w:r>
      <w:r>
        <w:rPr>
          <w:spacing w:val="-2"/>
        </w:rPr>
        <w:t> </w:t>
      </w:r>
      <w:r>
        <w:rPr/>
        <w:t>process</w:t>
      </w:r>
      <w:r>
        <w:rPr>
          <w:spacing w:val="-3"/>
        </w:rPr>
        <w:t> </w:t>
      </w:r>
      <w:r>
        <w:rPr/>
        <w:t>a</w:t>
      </w:r>
      <w:r>
        <w:rPr>
          <w:spacing w:val="-2"/>
        </w:rPr>
        <w:t> </w:t>
      </w:r>
      <w:r>
        <w:rPr/>
        <w:t>drawback</w:t>
      </w:r>
      <w:r>
        <w:rPr>
          <w:spacing w:val="-3"/>
        </w:rPr>
        <w:t> </w:t>
      </w:r>
      <w:r>
        <w:rPr/>
        <w:t>claim; how and when refund of Customs duty may be applied for and how to prepare and process a refund</w:t>
      </w:r>
      <w:r>
        <w:rPr>
          <w:spacing w:val="-36"/>
        </w:rPr>
        <w:t> </w:t>
      </w:r>
      <w:r>
        <w:rPr/>
        <w:t>claim;</w:t>
      </w:r>
    </w:p>
    <w:p>
      <w:pPr>
        <w:pStyle w:val="BodyText"/>
        <w:spacing w:line="237" w:lineRule="auto"/>
        <w:ind w:left="373" w:right="7218"/>
      </w:pPr>
      <w:r>
        <w:rPr/>
        <w:pict>
          <v:shape style="position:absolute;margin-left:37.793461pt;margin-top:4.763278pt;width:2.75pt;height:2.75pt;mso-position-horizontal-relative:page;mso-position-vertical-relative:paragraph;z-index:15731712"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98pt;width:2.75pt;height:2.75pt;mso-position-horizontal-relative:page;mso-position-vertical-relative:paragraph;z-index:15732224" coordorigin="756,312" coordsize="55,55" path="m801,366l765,366,756,357,756,321,765,312,801,312,810,321,810,339,810,357,801,366xe" filled="true" fillcolor="#000000" stroked="false">
            <v:path arrowok="t"/>
            <v:fill type="solid"/>
            <w10:wrap type="none"/>
          </v:shape>
        </w:pict>
      </w:r>
      <w:r>
        <w:rPr/>
        <w:t>how to apply for a tariff concession order in the manner prescribed in Part XVA of the Act; methods of payments and export finance information;</w:t>
      </w:r>
    </w:p>
    <w:p>
      <w:pPr>
        <w:pStyle w:val="BodyText"/>
        <w:spacing w:line="217" w:lineRule="exact"/>
        <w:ind w:left="373"/>
      </w:pPr>
      <w:r>
        <w:rPr/>
        <w:pict>
          <v:shape style="position:absolute;margin-left:37.793461pt;margin-top:4.779054pt;width:2.75pt;height:2.75pt;mso-position-horizontal-relative:page;mso-position-vertical-relative:paragraph;z-index:15732736" coordorigin="756,96" coordsize="55,55" path="m801,150l765,150,756,141,756,105,765,96,801,96,810,105,810,123,810,141,801,150xe" filled="true" fillcolor="#000000" stroked="false">
            <v:path arrowok="t"/>
            <v:fill type="solid"/>
            <w10:wrap type="none"/>
          </v:shape>
        </w:pict>
      </w:r>
      <w:r>
        <w:rPr/>
        <w:t>feasibility costing services.</w:t>
      </w:r>
    </w:p>
    <w:p>
      <w:pPr>
        <w:pStyle w:val="BodyText"/>
        <w:spacing w:before="5"/>
        <w:ind w:left="0"/>
        <w:rPr>
          <w:sz w:val="16"/>
        </w:rPr>
      </w:pPr>
    </w:p>
    <w:p>
      <w:pPr>
        <w:pStyle w:val="BodyText"/>
        <w:spacing w:line="237" w:lineRule="auto"/>
        <w:ind w:right="241"/>
      </w:pPr>
      <w:r>
        <w:rPr/>
        <w:t>The above functions are some that Customs Brokers must know in order for them to offer to importers and exporters an integrated service of facilitating the movement of goods into and out of Australia in the most prompt, efficient and cost effective manner and in doing so fulfil the requirements of Customs and associated legislation.</w:t>
      </w:r>
    </w:p>
    <w:p>
      <w:pPr>
        <w:pStyle w:val="BodyText"/>
        <w:spacing w:before="4"/>
        <w:ind w:left="0"/>
        <w:rPr>
          <w:sz w:val="16"/>
        </w:rPr>
      </w:pPr>
    </w:p>
    <w:p>
      <w:pPr>
        <w:pStyle w:val="BodyText"/>
        <w:spacing w:line="446" w:lineRule="auto"/>
        <w:ind w:right="9617"/>
      </w:pPr>
      <w:r>
        <w:rPr/>
        <w:t>Details of the National Examination are at </w:t>
      </w:r>
      <w:hyperlink r:id="rId6">
        <w:r>
          <w:rPr>
            <w:color w:val="0F64C7"/>
          </w:rPr>
          <w:t>Attachment B </w:t>
        </w:r>
      </w:hyperlink>
      <w:r>
        <w:rPr/>
        <w:t>to this ACN. This ACN supersedes ACN 95/30.</w:t>
      </w:r>
    </w:p>
    <w:p>
      <w:pPr>
        <w:pStyle w:val="BodyText"/>
        <w:spacing w:line="216" w:lineRule="exact"/>
      </w:pPr>
      <w:r>
        <w:rPr/>
        <w:t>(L. B. WOODWARD)</w:t>
      </w:r>
    </w:p>
    <w:p>
      <w:pPr>
        <w:pStyle w:val="BodyText"/>
        <w:spacing w:line="237" w:lineRule="auto" w:before="1"/>
        <w:ind w:right="13461"/>
      </w:pPr>
      <w:r>
        <w:rPr/>
        <w:t>Chief Executive Officer July 1998</w:t>
      </w:r>
    </w:p>
    <w:p>
      <w:pPr>
        <w:pStyle w:val="BodyText"/>
        <w:spacing w:before="4"/>
        <w:ind w:left="0"/>
        <w:rPr>
          <w:sz w:val="16"/>
        </w:rPr>
      </w:pPr>
    </w:p>
    <w:p>
      <w:pPr>
        <w:pStyle w:val="BodyText"/>
      </w:pPr>
      <w:r>
        <w:rPr/>
        <w:t>(Import/Export Management Branch C87/12314)</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44-A" TargetMode="External"/><Relationship Id="rId6" Type="http://schemas.openxmlformats.org/officeDocument/2006/relationships/hyperlink" Target="https://borderauthor.border.gov.au/Busi/Cust/Aust/Australian-Customs-Notice-1998-44-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2020-12-09T22:16:49Z</dcterms:created>
  <dcterms:modified xsi:type="dcterms:W3CDTF">2020-12-09T22:16:49Z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