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1998 90</w:t>
      </w:r>
    </w:p>
    <w:p>
      <w:pPr>
        <w:spacing w:before="357"/>
        <w:ind w:left="108" w:right="0" w:firstLine="0"/>
        <w:jc w:val="left"/>
        <w:rPr>
          <w:b/>
          <w:sz w:val="32"/>
        </w:rPr>
      </w:pPr>
      <w:r>
        <w:rPr>
          <w:b/>
          <w:color w:val="202020"/>
          <w:sz w:val="32"/>
        </w:rPr>
        <w:t>Customs Year 2000 IT External Testing</w:t>
      </w:r>
    </w:p>
    <w:p>
      <w:pPr>
        <w:pStyle w:val="BodyText"/>
        <w:spacing w:before="254"/>
        <w:ind w:left="108"/>
      </w:pPr>
      <w:r>
        <w:rPr/>
        <w:t>In September 1998, Customs issued ACN 98/47 indicating that an external testing service would be provided early in 1999 for Year 2000 issues.</w:t>
      </w:r>
    </w:p>
    <w:p>
      <w:pPr>
        <w:pStyle w:val="BodyText"/>
        <w:spacing w:before="5"/>
        <w:rPr>
          <w:sz w:val="16"/>
        </w:rPr>
      </w:pPr>
    </w:p>
    <w:p>
      <w:pPr>
        <w:pStyle w:val="BodyText"/>
        <w:spacing w:line="237" w:lineRule="auto"/>
        <w:ind w:left="108" w:right="757"/>
      </w:pPr>
      <w:r>
        <w:rPr/>
        <w:t>It must be emphasised that the testing can only be undertaken when both external users and Customs have achieved their own Year 2000 preparedness. Customs staff will begin contacting users directly in January to advise on prerequisite conditions and to schedule such testing.</w:t>
      </w:r>
    </w:p>
    <w:p>
      <w:pPr>
        <w:pStyle w:val="BodyText"/>
        <w:spacing w:before="4"/>
        <w:rPr>
          <w:sz w:val="16"/>
        </w:rPr>
      </w:pPr>
    </w:p>
    <w:p>
      <w:pPr>
        <w:pStyle w:val="BodyText"/>
        <w:spacing w:line="446" w:lineRule="auto"/>
        <w:ind w:left="108" w:right="6196"/>
      </w:pPr>
      <w:r>
        <w:rPr/>
        <w:pict>
          <v:shapetype id="_x0000_t202" o:spt="202" coordsize="21600,21600" path="m,l,21600r21600,l21600,xe">
            <v:stroke joinstyle="miter"/>
            <v:path gradientshapeok="t" o:connecttype="rect"/>
          </v:shapetype>
          <v:shape style="position:absolute;margin-left:34.073151pt;margin-top:31.232758pt;width:780.65pt;height:136pt;mso-position-horizontal-relative:page;mso-position-vertical-relative:paragraph;z-index:15728640" type="#_x0000_t202" filled="false" stroked="false">
            <v:textbox inset="0,0,0,0">
              <w:txbxContent>
                <w:tbl>
                  <w:tblPr>
                    <w:tblW w:w="0" w:type="auto"/>
                    <w:jc w:val="left"/>
                    <w:tblInd w:w="7"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2888"/>
                    <w:gridCol w:w="4775"/>
                    <w:gridCol w:w="7927"/>
                  </w:tblGrid>
                  <w:tr>
                    <w:trPr>
                      <w:trHeight w:val="593" w:hRule="atLeast"/>
                    </w:trPr>
                    <w:tc>
                      <w:tcPr>
                        <w:tcW w:w="2888" w:type="dxa"/>
                        <w:tcBorders>
                          <w:left w:val="nil"/>
                        </w:tcBorders>
                      </w:tcPr>
                      <w:p>
                        <w:pPr>
                          <w:pStyle w:val="TableParagraph"/>
                          <w:rPr>
                            <w:b/>
                            <w:sz w:val="19"/>
                          </w:rPr>
                        </w:pPr>
                        <w:r>
                          <w:rPr>
                            <w:b/>
                            <w:color w:val="202020"/>
                            <w:sz w:val="19"/>
                          </w:rPr>
                          <w:t>MONTH</w:t>
                        </w:r>
                      </w:p>
                    </w:tc>
                    <w:tc>
                      <w:tcPr>
                        <w:tcW w:w="4775" w:type="dxa"/>
                      </w:tcPr>
                      <w:p>
                        <w:pPr>
                          <w:pStyle w:val="TableParagraph"/>
                          <w:rPr>
                            <w:b/>
                            <w:sz w:val="19"/>
                          </w:rPr>
                        </w:pPr>
                        <w:r>
                          <w:rPr>
                            <w:b/>
                            <w:color w:val="202020"/>
                            <w:sz w:val="19"/>
                          </w:rPr>
                          <w:t>DAY/S</w:t>
                        </w:r>
                      </w:p>
                    </w:tc>
                    <w:tc>
                      <w:tcPr>
                        <w:tcW w:w="7927" w:type="dxa"/>
                        <w:tcBorders>
                          <w:right w:val="nil"/>
                        </w:tcBorders>
                      </w:tcPr>
                      <w:p>
                        <w:pPr>
                          <w:pStyle w:val="TableParagraph"/>
                          <w:rPr>
                            <w:b/>
                            <w:sz w:val="19"/>
                          </w:rPr>
                        </w:pPr>
                        <w:r>
                          <w:rPr>
                            <w:b/>
                            <w:color w:val="202020"/>
                            <w:sz w:val="19"/>
                          </w:rPr>
                          <w:t>FUNCTION</w:t>
                        </w:r>
                      </w:p>
                    </w:tc>
                  </w:tr>
                  <w:tr>
                    <w:trPr>
                      <w:trHeight w:val="404" w:hRule="atLeast"/>
                    </w:trPr>
                    <w:tc>
                      <w:tcPr>
                        <w:tcW w:w="2888" w:type="dxa"/>
                        <w:tcBorders>
                          <w:left w:val="nil"/>
                        </w:tcBorders>
                      </w:tcPr>
                      <w:p>
                        <w:pPr>
                          <w:pStyle w:val="TableParagraph"/>
                          <w:rPr>
                            <w:sz w:val="19"/>
                          </w:rPr>
                        </w:pPr>
                        <w:r>
                          <w:rPr>
                            <w:color w:val="202020"/>
                            <w:sz w:val="19"/>
                          </w:rPr>
                          <w:t>March</w:t>
                        </w:r>
                      </w:p>
                    </w:tc>
                    <w:tc>
                      <w:tcPr>
                        <w:tcW w:w="4775" w:type="dxa"/>
                      </w:tcPr>
                      <w:p>
                        <w:pPr>
                          <w:pStyle w:val="TableParagraph"/>
                          <w:rPr>
                            <w:sz w:val="19"/>
                          </w:rPr>
                        </w:pPr>
                        <w:r>
                          <w:rPr>
                            <w:color w:val="202020"/>
                            <w:sz w:val="19"/>
                          </w:rPr>
                          <w:t>Saturday</w:t>
                        </w:r>
                      </w:p>
                    </w:tc>
                    <w:tc>
                      <w:tcPr>
                        <w:tcW w:w="7927" w:type="dxa"/>
                        <w:tcBorders>
                          <w:right w:val="nil"/>
                        </w:tcBorders>
                      </w:tcPr>
                      <w:p>
                        <w:pPr>
                          <w:pStyle w:val="TableParagraph"/>
                          <w:rPr>
                            <w:sz w:val="19"/>
                          </w:rPr>
                        </w:pPr>
                        <w:r>
                          <w:rPr>
                            <w:color w:val="202020"/>
                            <w:sz w:val="19"/>
                          </w:rPr>
                          <w:t>IMPORT (interactive input)</w:t>
                        </w:r>
                      </w:p>
                    </w:tc>
                  </w:tr>
                  <w:tr>
                    <w:trPr>
                      <w:trHeight w:val="404" w:hRule="atLeast"/>
                    </w:trPr>
                    <w:tc>
                      <w:tcPr>
                        <w:tcW w:w="2888" w:type="dxa"/>
                        <w:tcBorders>
                          <w:left w:val="nil"/>
                        </w:tcBorders>
                      </w:tcPr>
                      <w:p>
                        <w:pPr>
                          <w:pStyle w:val="TableParagraph"/>
                          <w:rPr>
                            <w:sz w:val="19"/>
                          </w:rPr>
                        </w:pPr>
                        <w:r>
                          <w:rPr>
                            <w:color w:val="202020"/>
                            <w:sz w:val="19"/>
                          </w:rPr>
                          <w:t>April</w:t>
                        </w:r>
                      </w:p>
                    </w:tc>
                    <w:tc>
                      <w:tcPr>
                        <w:tcW w:w="4775" w:type="dxa"/>
                      </w:tcPr>
                      <w:p>
                        <w:pPr>
                          <w:pStyle w:val="TableParagraph"/>
                          <w:rPr>
                            <w:sz w:val="19"/>
                          </w:rPr>
                        </w:pPr>
                        <w:r>
                          <w:rPr>
                            <w:color w:val="202020"/>
                            <w:sz w:val="19"/>
                          </w:rPr>
                          <w:t>Saturday</w:t>
                        </w:r>
                      </w:p>
                    </w:tc>
                    <w:tc>
                      <w:tcPr>
                        <w:tcW w:w="7927" w:type="dxa"/>
                        <w:tcBorders>
                          <w:right w:val="nil"/>
                        </w:tcBorders>
                      </w:tcPr>
                      <w:p>
                        <w:pPr>
                          <w:pStyle w:val="TableParagraph"/>
                          <w:rPr>
                            <w:sz w:val="19"/>
                          </w:rPr>
                        </w:pPr>
                        <w:r>
                          <w:rPr>
                            <w:color w:val="202020"/>
                            <w:sz w:val="19"/>
                          </w:rPr>
                          <w:t>IMPORT (interactive input)</w:t>
                        </w:r>
                      </w:p>
                    </w:tc>
                  </w:tr>
                  <w:tr>
                    <w:trPr>
                      <w:trHeight w:val="404" w:hRule="atLeast"/>
                    </w:trPr>
                    <w:tc>
                      <w:tcPr>
                        <w:tcW w:w="2888" w:type="dxa"/>
                        <w:tcBorders>
                          <w:left w:val="nil"/>
                        </w:tcBorders>
                      </w:tcPr>
                      <w:p>
                        <w:pPr>
                          <w:pStyle w:val="TableParagraph"/>
                          <w:rPr>
                            <w:sz w:val="19"/>
                          </w:rPr>
                        </w:pPr>
                        <w:r>
                          <w:rPr>
                            <w:color w:val="202020"/>
                            <w:sz w:val="19"/>
                          </w:rPr>
                          <w:t>May</w:t>
                        </w:r>
                      </w:p>
                    </w:tc>
                    <w:tc>
                      <w:tcPr>
                        <w:tcW w:w="4775" w:type="dxa"/>
                      </w:tcPr>
                      <w:p>
                        <w:pPr>
                          <w:pStyle w:val="TableParagraph"/>
                          <w:rPr>
                            <w:sz w:val="19"/>
                          </w:rPr>
                        </w:pPr>
                        <w:r>
                          <w:rPr>
                            <w:color w:val="202020"/>
                            <w:sz w:val="19"/>
                          </w:rPr>
                          <w:t>Saturday</w:t>
                        </w:r>
                      </w:p>
                    </w:tc>
                    <w:tc>
                      <w:tcPr>
                        <w:tcW w:w="7927" w:type="dxa"/>
                        <w:tcBorders>
                          <w:right w:val="nil"/>
                        </w:tcBorders>
                      </w:tcPr>
                      <w:p>
                        <w:pPr>
                          <w:pStyle w:val="TableParagraph"/>
                          <w:rPr>
                            <w:sz w:val="19"/>
                          </w:rPr>
                        </w:pPr>
                        <w:r>
                          <w:rPr>
                            <w:color w:val="202020"/>
                            <w:sz w:val="19"/>
                          </w:rPr>
                          <w:t>IMPORT (EDI input)</w:t>
                        </w:r>
                      </w:p>
                    </w:tc>
                  </w:tr>
                  <w:tr>
                    <w:trPr>
                      <w:trHeight w:val="404" w:hRule="atLeast"/>
                    </w:trPr>
                    <w:tc>
                      <w:tcPr>
                        <w:tcW w:w="2888" w:type="dxa"/>
                        <w:tcBorders>
                          <w:left w:val="nil"/>
                        </w:tcBorders>
                      </w:tcPr>
                      <w:p>
                        <w:pPr>
                          <w:pStyle w:val="TableParagraph"/>
                          <w:rPr>
                            <w:sz w:val="19"/>
                          </w:rPr>
                        </w:pPr>
                        <w:r>
                          <w:rPr>
                            <w:color w:val="202020"/>
                            <w:sz w:val="19"/>
                          </w:rPr>
                          <w:t>June</w:t>
                        </w:r>
                      </w:p>
                    </w:tc>
                    <w:tc>
                      <w:tcPr>
                        <w:tcW w:w="4775" w:type="dxa"/>
                      </w:tcPr>
                      <w:p>
                        <w:pPr>
                          <w:pStyle w:val="TableParagraph"/>
                          <w:rPr>
                            <w:sz w:val="19"/>
                          </w:rPr>
                        </w:pPr>
                        <w:r>
                          <w:rPr>
                            <w:color w:val="202020"/>
                            <w:sz w:val="19"/>
                          </w:rPr>
                          <w:t>Monday-Friday</w:t>
                        </w:r>
                      </w:p>
                    </w:tc>
                    <w:tc>
                      <w:tcPr>
                        <w:tcW w:w="7927" w:type="dxa"/>
                        <w:tcBorders>
                          <w:right w:val="nil"/>
                        </w:tcBorders>
                      </w:tcPr>
                      <w:p>
                        <w:pPr>
                          <w:pStyle w:val="TableParagraph"/>
                          <w:rPr>
                            <w:sz w:val="19"/>
                          </w:rPr>
                        </w:pPr>
                        <w:r>
                          <w:rPr>
                            <w:color w:val="202020"/>
                            <w:sz w:val="19"/>
                          </w:rPr>
                          <w:t>EXPORT (EDI input)</w:t>
                        </w:r>
                      </w:p>
                    </w:tc>
                  </w:tr>
                  <w:tr>
                    <w:trPr>
                      <w:trHeight w:val="404" w:hRule="atLeast"/>
                    </w:trPr>
                    <w:tc>
                      <w:tcPr>
                        <w:tcW w:w="2888" w:type="dxa"/>
                        <w:tcBorders>
                          <w:left w:val="nil"/>
                        </w:tcBorders>
                      </w:tcPr>
                      <w:p>
                        <w:pPr>
                          <w:pStyle w:val="TableParagraph"/>
                          <w:rPr>
                            <w:sz w:val="19"/>
                          </w:rPr>
                        </w:pPr>
                        <w:r>
                          <w:rPr>
                            <w:color w:val="202020"/>
                            <w:sz w:val="19"/>
                          </w:rPr>
                          <w:t>July</w:t>
                        </w:r>
                      </w:p>
                    </w:tc>
                    <w:tc>
                      <w:tcPr>
                        <w:tcW w:w="4775" w:type="dxa"/>
                      </w:tcPr>
                      <w:p>
                        <w:pPr>
                          <w:pStyle w:val="TableParagraph"/>
                          <w:rPr>
                            <w:sz w:val="19"/>
                          </w:rPr>
                        </w:pPr>
                        <w:r>
                          <w:rPr>
                            <w:color w:val="202020"/>
                            <w:sz w:val="19"/>
                          </w:rPr>
                          <w:t>Monday-Friday</w:t>
                        </w:r>
                      </w:p>
                    </w:tc>
                    <w:tc>
                      <w:tcPr>
                        <w:tcW w:w="7927" w:type="dxa"/>
                        <w:tcBorders>
                          <w:right w:val="nil"/>
                        </w:tcBorders>
                      </w:tcPr>
                      <w:p>
                        <w:pPr>
                          <w:pStyle w:val="TableParagraph"/>
                          <w:rPr>
                            <w:sz w:val="19"/>
                          </w:rPr>
                        </w:pPr>
                        <w:r>
                          <w:rPr>
                            <w:color w:val="202020"/>
                            <w:sz w:val="19"/>
                          </w:rPr>
                          <w:t>EXPORT &amp;amp; IMPORT</w:t>
                        </w:r>
                      </w:p>
                    </w:tc>
                  </w:tr>
                </w:tbl>
                <w:p>
                  <w:pPr>
                    <w:pStyle w:val="BodyText"/>
                  </w:pPr>
                </w:p>
              </w:txbxContent>
            </v:textbox>
            <w10:wrap type="none"/>
          </v:shape>
        </w:pict>
      </w:r>
      <w:r>
        <w:rPr/>
        <w:t>There will be no change in EDI message formats - either for input or for output from the Customs systems. Testing is planned to start mid-March, and the schedule is: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6"/>
        </w:rPr>
      </w:pPr>
    </w:p>
    <w:p>
      <w:pPr>
        <w:pStyle w:val="BodyText"/>
        <w:ind w:left="108"/>
      </w:pPr>
      <w:r>
        <w:rPr/>
        <w:t>Users would need to negotiate with Customs if they want to conduct testing on designated Public Holidays.</w:t>
      </w:r>
    </w:p>
    <w:p>
      <w:pPr>
        <w:pStyle w:val="BodyText"/>
        <w:spacing w:before="5"/>
        <w:rPr>
          <w:sz w:val="16"/>
        </w:rPr>
      </w:pPr>
    </w:p>
    <w:p>
      <w:pPr>
        <w:pStyle w:val="BodyText"/>
        <w:spacing w:line="237" w:lineRule="auto"/>
        <w:ind w:left="108" w:right="293"/>
      </w:pPr>
      <w:r>
        <w:rPr/>
        <w:t>External testing will give users confidence that their business with Customs will continue to operate on any given date in the Year 2000. Customs will not be in a position to assess user problems if they occur.</w:t>
      </w:r>
    </w:p>
    <w:p>
      <w:pPr>
        <w:pStyle w:val="BodyText"/>
        <w:spacing w:line="400" w:lineRule="atLeast" w:before="6"/>
        <w:ind w:left="108" w:right="5920"/>
      </w:pPr>
      <w:r>
        <w:rPr/>
        <w:t>This approach will allow an orderly management of the very large number of users who are expected to participate. (J M Drury)</w:t>
      </w:r>
    </w:p>
    <w:p>
      <w:pPr>
        <w:pStyle w:val="BodyText"/>
        <w:spacing w:line="237" w:lineRule="auto" w:before="6"/>
        <w:ind w:left="108" w:right="12373"/>
      </w:pPr>
      <w:r>
        <w:rPr/>
        <w:t>Acting Chief Executive Officer Australian Customs Service</w:t>
      </w:r>
    </w:p>
    <w:p>
      <w:pPr>
        <w:pStyle w:val="BodyText"/>
        <w:spacing w:before="4"/>
        <w:rPr>
          <w:sz w:val="16"/>
        </w:rPr>
      </w:pPr>
    </w:p>
    <w:p>
      <w:pPr>
        <w:pStyle w:val="BodyText"/>
        <w:spacing w:line="446" w:lineRule="auto"/>
        <w:ind w:left="108" w:right="13165"/>
      </w:pPr>
      <w:r>
        <w:rPr/>
        <w:t>17 December 1998 (C98/7735)</w:t>
      </w:r>
    </w:p>
    <w:sectPr>
      <w:type w:val="continuous"/>
      <w:pgSz w:w="16840" w:h="11900" w:orient="landscape"/>
      <w:pgMar w:top="68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91"/>
      <w:ind w:left="101"/>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2020-12-09T22:20:58Z</dcterms:created>
  <dcterms:modified xsi:type="dcterms:W3CDTF">2020-12-09T22:20:58Z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