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01</w:t>
      </w:r>
    </w:p>
    <w:p>
      <w:pPr>
        <w:spacing w:before="357"/>
        <w:ind w:left="108" w:right="0" w:firstLine="0"/>
        <w:jc w:val="left"/>
        <w:rPr>
          <w:b/>
          <w:sz w:val="32"/>
        </w:rPr>
      </w:pPr>
      <w:r>
        <w:rPr>
          <w:b/>
          <w:color w:val="202020"/>
          <w:sz w:val="32"/>
        </w:rPr>
        <w:t>Legacy currencies - fixed rates against the euro</w:t>
      </w:r>
    </w:p>
    <w:p>
      <w:pPr>
        <w:pStyle w:val="BodyText"/>
        <w:spacing w:line="237" w:lineRule="auto" w:before="256"/>
        <w:ind w:right="725"/>
      </w:pPr>
      <w:r>
        <w:rPr/>
        <w:t>With the introduction of the </w:t>
      </w:r>
      <w:r>
        <w:rPr>
          <w:i/>
        </w:rPr>
        <w:t>euro </w:t>
      </w:r>
      <w:r>
        <w:rPr/>
        <w:t>on 1 January 1999, the Council of the European Union has adopted irrevocably fixed conversion rates between the </w:t>
      </w:r>
      <w:r>
        <w:rPr>
          <w:i/>
        </w:rPr>
        <w:t>euro </w:t>
      </w:r>
      <w:r>
        <w:rPr/>
        <w:t>and the currencies of the eleven participating members of the European Union.</w:t>
      </w:r>
    </w:p>
    <w:p>
      <w:pPr>
        <w:pStyle w:val="BodyText"/>
        <w:spacing w:before="4"/>
        <w:ind w:left="0"/>
        <w:rPr>
          <w:sz w:val="16"/>
        </w:rPr>
      </w:pPr>
    </w:p>
    <w:p>
      <w:pPr>
        <w:pStyle w:val="BodyText"/>
        <w:spacing w:line="217" w:lineRule="exact"/>
      </w:pPr>
      <w:r>
        <w:rPr/>
        <w:t>As indicated in Australian Customs Notice No. 98/88, ruling rates of exchange for legacy currencies will continue to be published in the </w:t>
      </w:r>
      <w:r>
        <w:rPr>
          <w:i/>
        </w:rPr>
        <w:t>Gazette </w:t>
      </w:r>
      <w:r>
        <w:rPr/>
        <w:t>in accordance with section 161J of</w:t>
      </w:r>
    </w:p>
    <w:p>
      <w:pPr>
        <w:pStyle w:val="BodyText"/>
        <w:spacing w:line="237" w:lineRule="auto" w:before="1"/>
        <w:ind w:right="272"/>
      </w:pPr>
      <w:r>
        <w:rPr/>
        <w:t>the </w:t>
      </w:r>
      <w:r>
        <w:rPr>
          <w:i/>
        </w:rPr>
        <w:t>Customs Act 1901 </w:t>
      </w:r>
      <w:r>
        <w:rPr/>
        <w:t>and will be included in Customs reference files. These ruling rates of exchange will be determined by multiplying the fixed conversion rates for each of the legacy currencies by the daily average selling rate of the </w:t>
      </w:r>
      <w:r>
        <w:rPr>
          <w:i/>
        </w:rPr>
        <w:t>euro </w:t>
      </w:r>
      <w:r>
        <w:rPr/>
        <w:t>against the Australian dollar (as advised by the Reserve Bank).</w:t>
      </w:r>
    </w:p>
    <w:p>
      <w:pPr>
        <w:pStyle w:val="BodyText"/>
        <w:spacing w:before="4"/>
        <w:ind w:left="0"/>
        <w:rPr>
          <w:sz w:val="16"/>
        </w:rPr>
      </w:pPr>
    </w:p>
    <w:p>
      <w:pPr>
        <w:pStyle w:val="BodyText"/>
      </w:pPr>
      <w:r>
        <w:rPr/>
        <w:t>The fixed conversion rates against the euro are:</w:t>
      </w:r>
    </w:p>
    <w:p>
      <w:pPr>
        <w:pStyle w:val="BodyText"/>
        <w:spacing w:before="5" w:after="1"/>
        <w:ind w:left="0"/>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5783"/>
        <w:gridCol w:w="5939"/>
        <w:gridCol w:w="3869"/>
      </w:tblGrid>
      <w:tr>
        <w:trPr>
          <w:trHeight w:val="404" w:hRule="atLeast"/>
        </w:trPr>
        <w:tc>
          <w:tcPr>
            <w:tcW w:w="5783" w:type="dxa"/>
            <w:tcBorders>
              <w:left w:val="nil"/>
            </w:tcBorders>
          </w:tcPr>
          <w:p>
            <w:pPr>
              <w:pStyle w:val="TableParagraph"/>
              <w:rPr>
                <w:sz w:val="19"/>
              </w:rPr>
            </w:pPr>
            <w:r>
              <w:rPr>
                <w:color w:val="202020"/>
                <w:sz w:val="19"/>
              </w:rPr>
              <w:t>Austria</w:t>
            </w:r>
          </w:p>
        </w:tc>
        <w:tc>
          <w:tcPr>
            <w:tcW w:w="5939" w:type="dxa"/>
          </w:tcPr>
          <w:p>
            <w:pPr>
              <w:pStyle w:val="TableParagraph"/>
              <w:rPr>
                <w:sz w:val="19"/>
              </w:rPr>
            </w:pPr>
            <w:r>
              <w:rPr>
                <w:color w:val="202020"/>
                <w:sz w:val="19"/>
              </w:rPr>
              <w:t>13.7603</w:t>
            </w:r>
          </w:p>
        </w:tc>
        <w:tc>
          <w:tcPr>
            <w:tcW w:w="3869" w:type="dxa"/>
            <w:tcBorders>
              <w:right w:val="nil"/>
            </w:tcBorders>
          </w:tcPr>
          <w:p>
            <w:pPr>
              <w:pStyle w:val="TableParagraph"/>
              <w:rPr>
                <w:sz w:val="19"/>
              </w:rPr>
            </w:pPr>
            <w:r>
              <w:rPr>
                <w:color w:val="202020"/>
                <w:sz w:val="19"/>
              </w:rPr>
              <w:t>ATS</w:t>
            </w:r>
          </w:p>
        </w:tc>
      </w:tr>
      <w:tr>
        <w:trPr>
          <w:trHeight w:val="404" w:hRule="atLeast"/>
        </w:trPr>
        <w:tc>
          <w:tcPr>
            <w:tcW w:w="5783" w:type="dxa"/>
            <w:tcBorders>
              <w:left w:val="nil"/>
            </w:tcBorders>
          </w:tcPr>
          <w:p>
            <w:pPr>
              <w:pStyle w:val="TableParagraph"/>
              <w:rPr>
                <w:sz w:val="19"/>
              </w:rPr>
            </w:pPr>
            <w:r>
              <w:rPr>
                <w:color w:val="202020"/>
                <w:sz w:val="19"/>
              </w:rPr>
              <w:t>Belgium</w:t>
            </w:r>
          </w:p>
        </w:tc>
        <w:tc>
          <w:tcPr>
            <w:tcW w:w="5939" w:type="dxa"/>
          </w:tcPr>
          <w:p>
            <w:pPr>
              <w:pStyle w:val="TableParagraph"/>
              <w:rPr>
                <w:sz w:val="19"/>
              </w:rPr>
            </w:pPr>
            <w:r>
              <w:rPr>
                <w:color w:val="202020"/>
                <w:sz w:val="19"/>
              </w:rPr>
              <w:t>40.3399</w:t>
            </w:r>
          </w:p>
        </w:tc>
        <w:tc>
          <w:tcPr>
            <w:tcW w:w="3869" w:type="dxa"/>
            <w:tcBorders>
              <w:right w:val="nil"/>
            </w:tcBorders>
          </w:tcPr>
          <w:p>
            <w:pPr>
              <w:pStyle w:val="TableParagraph"/>
              <w:rPr>
                <w:sz w:val="19"/>
              </w:rPr>
            </w:pPr>
            <w:r>
              <w:rPr>
                <w:color w:val="202020"/>
                <w:sz w:val="19"/>
              </w:rPr>
              <w:t>BEF</w:t>
            </w:r>
          </w:p>
        </w:tc>
      </w:tr>
      <w:tr>
        <w:trPr>
          <w:trHeight w:val="404" w:hRule="atLeast"/>
        </w:trPr>
        <w:tc>
          <w:tcPr>
            <w:tcW w:w="5783" w:type="dxa"/>
            <w:tcBorders>
              <w:left w:val="nil"/>
            </w:tcBorders>
          </w:tcPr>
          <w:p>
            <w:pPr>
              <w:pStyle w:val="TableParagraph"/>
              <w:rPr>
                <w:sz w:val="19"/>
              </w:rPr>
            </w:pPr>
            <w:r>
              <w:rPr>
                <w:color w:val="202020"/>
                <w:sz w:val="19"/>
              </w:rPr>
              <w:t>Finland</w:t>
            </w:r>
          </w:p>
        </w:tc>
        <w:tc>
          <w:tcPr>
            <w:tcW w:w="5939" w:type="dxa"/>
          </w:tcPr>
          <w:p>
            <w:pPr>
              <w:pStyle w:val="TableParagraph"/>
              <w:rPr>
                <w:sz w:val="19"/>
              </w:rPr>
            </w:pPr>
            <w:r>
              <w:rPr>
                <w:color w:val="202020"/>
                <w:sz w:val="19"/>
              </w:rPr>
              <w:t>5.94573</w:t>
            </w:r>
          </w:p>
        </w:tc>
        <w:tc>
          <w:tcPr>
            <w:tcW w:w="3869" w:type="dxa"/>
            <w:tcBorders>
              <w:right w:val="nil"/>
            </w:tcBorders>
          </w:tcPr>
          <w:p>
            <w:pPr>
              <w:pStyle w:val="TableParagraph"/>
              <w:rPr>
                <w:sz w:val="19"/>
              </w:rPr>
            </w:pPr>
            <w:r>
              <w:rPr>
                <w:color w:val="202020"/>
                <w:sz w:val="19"/>
              </w:rPr>
              <w:t>FIM</w:t>
            </w:r>
          </w:p>
        </w:tc>
      </w:tr>
      <w:tr>
        <w:trPr>
          <w:trHeight w:val="404" w:hRule="atLeast"/>
        </w:trPr>
        <w:tc>
          <w:tcPr>
            <w:tcW w:w="5783" w:type="dxa"/>
            <w:tcBorders>
              <w:left w:val="nil"/>
            </w:tcBorders>
          </w:tcPr>
          <w:p>
            <w:pPr>
              <w:pStyle w:val="TableParagraph"/>
              <w:rPr>
                <w:sz w:val="19"/>
              </w:rPr>
            </w:pPr>
            <w:r>
              <w:rPr>
                <w:color w:val="202020"/>
                <w:sz w:val="19"/>
              </w:rPr>
              <w:t>France</w:t>
            </w:r>
          </w:p>
        </w:tc>
        <w:tc>
          <w:tcPr>
            <w:tcW w:w="5939" w:type="dxa"/>
          </w:tcPr>
          <w:p>
            <w:pPr>
              <w:pStyle w:val="TableParagraph"/>
              <w:rPr>
                <w:sz w:val="19"/>
              </w:rPr>
            </w:pPr>
            <w:r>
              <w:rPr>
                <w:color w:val="202020"/>
                <w:sz w:val="19"/>
              </w:rPr>
              <w:t>6.55957</w:t>
            </w:r>
          </w:p>
        </w:tc>
        <w:tc>
          <w:tcPr>
            <w:tcW w:w="3869" w:type="dxa"/>
            <w:tcBorders>
              <w:right w:val="nil"/>
            </w:tcBorders>
          </w:tcPr>
          <w:p>
            <w:pPr>
              <w:pStyle w:val="TableParagraph"/>
              <w:rPr>
                <w:sz w:val="19"/>
              </w:rPr>
            </w:pPr>
            <w:r>
              <w:rPr>
                <w:color w:val="202020"/>
                <w:sz w:val="19"/>
              </w:rPr>
              <w:t>FRF</w:t>
            </w:r>
          </w:p>
        </w:tc>
      </w:tr>
      <w:tr>
        <w:trPr>
          <w:trHeight w:val="404" w:hRule="atLeast"/>
        </w:trPr>
        <w:tc>
          <w:tcPr>
            <w:tcW w:w="5783" w:type="dxa"/>
            <w:tcBorders>
              <w:left w:val="nil"/>
            </w:tcBorders>
          </w:tcPr>
          <w:p>
            <w:pPr>
              <w:pStyle w:val="TableParagraph"/>
              <w:rPr>
                <w:sz w:val="19"/>
              </w:rPr>
            </w:pPr>
            <w:r>
              <w:rPr>
                <w:color w:val="202020"/>
                <w:sz w:val="19"/>
              </w:rPr>
              <w:t>Germany</w:t>
            </w:r>
          </w:p>
        </w:tc>
        <w:tc>
          <w:tcPr>
            <w:tcW w:w="5939" w:type="dxa"/>
          </w:tcPr>
          <w:p>
            <w:pPr>
              <w:pStyle w:val="TableParagraph"/>
              <w:rPr>
                <w:sz w:val="19"/>
              </w:rPr>
            </w:pPr>
            <w:r>
              <w:rPr>
                <w:color w:val="202020"/>
                <w:sz w:val="19"/>
              </w:rPr>
              <w:t>1.95583</w:t>
            </w:r>
          </w:p>
        </w:tc>
        <w:tc>
          <w:tcPr>
            <w:tcW w:w="3869" w:type="dxa"/>
            <w:tcBorders>
              <w:right w:val="nil"/>
            </w:tcBorders>
          </w:tcPr>
          <w:p>
            <w:pPr>
              <w:pStyle w:val="TableParagraph"/>
              <w:rPr>
                <w:sz w:val="19"/>
              </w:rPr>
            </w:pPr>
            <w:r>
              <w:rPr>
                <w:color w:val="202020"/>
                <w:sz w:val="19"/>
              </w:rPr>
              <w:t>DEM</w:t>
            </w:r>
          </w:p>
        </w:tc>
      </w:tr>
      <w:tr>
        <w:trPr>
          <w:trHeight w:val="404" w:hRule="atLeast"/>
        </w:trPr>
        <w:tc>
          <w:tcPr>
            <w:tcW w:w="5783" w:type="dxa"/>
            <w:tcBorders>
              <w:left w:val="nil"/>
            </w:tcBorders>
          </w:tcPr>
          <w:p>
            <w:pPr>
              <w:pStyle w:val="TableParagraph"/>
              <w:rPr>
                <w:sz w:val="19"/>
              </w:rPr>
            </w:pPr>
            <w:r>
              <w:rPr>
                <w:color w:val="202020"/>
                <w:sz w:val="19"/>
              </w:rPr>
              <w:t>Luxembourg</w:t>
            </w:r>
          </w:p>
        </w:tc>
        <w:tc>
          <w:tcPr>
            <w:tcW w:w="5939" w:type="dxa"/>
          </w:tcPr>
          <w:p>
            <w:pPr>
              <w:pStyle w:val="TableParagraph"/>
              <w:rPr>
                <w:sz w:val="19"/>
              </w:rPr>
            </w:pPr>
            <w:r>
              <w:rPr>
                <w:color w:val="202020"/>
                <w:sz w:val="19"/>
              </w:rPr>
              <w:t>40.3399</w:t>
            </w:r>
          </w:p>
        </w:tc>
        <w:tc>
          <w:tcPr>
            <w:tcW w:w="3869" w:type="dxa"/>
            <w:tcBorders>
              <w:right w:val="nil"/>
            </w:tcBorders>
          </w:tcPr>
          <w:p>
            <w:pPr>
              <w:pStyle w:val="TableParagraph"/>
              <w:rPr>
                <w:sz w:val="19"/>
              </w:rPr>
            </w:pPr>
            <w:r>
              <w:rPr>
                <w:color w:val="202020"/>
                <w:sz w:val="19"/>
              </w:rPr>
              <w:t>LUF</w:t>
            </w:r>
          </w:p>
        </w:tc>
      </w:tr>
      <w:tr>
        <w:trPr>
          <w:trHeight w:val="404" w:hRule="atLeast"/>
        </w:trPr>
        <w:tc>
          <w:tcPr>
            <w:tcW w:w="5783" w:type="dxa"/>
            <w:tcBorders>
              <w:left w:val="nil"/>
            </w:tcBorders>
          </w:tcPr>
          <w:p>
            <w:pPr>
              <w:pStyle w:val="TableParagraph"/>
              <w:rPr>
                <w:sz w:val="19"/>
              </w:rPr>
            </w:pPr>
            <w:r>
              <w:rPr>
                <w:color w:val="202020"/>
                <w:sz w:val="19"/>
              </w:rPr>
              <w:t>Ireland</w:t>
            </w:r>
          </w:p>
        </w:tc>
        <w:tc>
          <w:tcPr>
            <w:tcW w:w="5939" w:type="dxa"/>
          </w:tcPr>
          <w:p>
            <w:pPr>
              <w:pStyle w:val="TableParagraph"/>
              <w:rPr>
                <w:sz w:val="19"/>
              </w:rPr>
            </w:pPr>
            <w:r>
              <w:rPr>
                <w:color w:val="202020"/>
                <w:sz w:val="19"/>
              </w:rPr>
              <w:t>0.787564</w:t>
            </w:r>
          </w:p>
        </w:tc>
        <w:tc>
          <w:tcPr>
            <w:tcW w:w="3869" w:type="dxa"/>
            <w:tcBorders>
              <w:right w:val="nil"/>
            </w:tcBorders>
          </w:tcPr>
          <w:p>
            <w:pPr>
              <w:pStyle w:val="TableParagraph"/>
              <w:rPr>
                <w:sz w:val="19"/>
              </w:rPr>
            </w:pPr>
            <w:r>
              <w:rPr>
                <w:color w:val="202020"/>
                <w:sz w:val="19"/>
              </w:rPr>
              <w:t>IEP</w:t>
            </w:r>
          </w:p>
        </w:tc>
      </w:tr>
      <w:tr>
        <w:trPr>
          <w:trHeight w:val="404" w:hRule="atLeast"/>
        </w:trPr>
        <w:tc>
          <w:tcPr>
            <w:tcW w:w="5783" w:type="dxa"/>
            <w:tcBorders>
              <w:left w:val="nil"/>
            </w:tcBorders>
          </w:tcPr>
          <w:p>
            <w:pPr>
              <w:pStyle w:val="TableParagraph"/>
              <w:rPr>
                <w:sz w:val="19"/>
              </w:rPr>
            </w:pPr>
            <w:r>
              <w:rPr>
                <w:color w:val="202020"/>
                <w:sz w:val="19"/>
              </w:rPr>
              <w:t>Italy</w:t>
            </w:r>
          </w:p>
        </w:tc>
        <w:tc>
          <w:tcPr>
            <w:tcW w:w="5939" w:type="dxa"/>
          </w:tcPr>
          <w:p>
            <w:pPr>
              <w:pStyle w:val="TableParagraph"/>
              <w:rPr>
                <w:sz w:val="19"/>
              </w:rPr>
            </w:pPr>
            <w:r>
              <w:rPr>
                <w:color w:val="202020"/>
                <w:sz w:val="19"/>
              </w:rPr>
              <w:t>1936.27</w:t>
            </w:r>
          </w:p>
        </w:tc>
        <w:tc>
          <w:tcPr>
            <w:tcW w:w="3869" w:type="dxa"/>
            <w:tcBorders>
              <w:right w:val="nil"/>
            </w:tcBorders>
          </w:tcPr>
          <w:p>
            <w:pPr>
              <w:pStyle w:val="TableParagraph"/>
              <w:rPr>
                <w:sz w:val="19"/>
              </w:rPr>
            </w:pPr>
            <w:r>
              <w:rPr>
                <w:color w:val="202020"/>
                <w:sz w:val="19"/>
              </w:rPr>
              <w:t>ITL</w:t>
            </w:r>
          </w:p>
        </w:tc>
      </w:tr>
      <w:tr>
        <w:trPr>
          <w:trHeight w:val="404" w:hRule="atLeast"/>
        </w:trPr>
        <w:tc>
          <w:tcPr>
            <w:tcW w:w="5783" w:type="dxa"/>
            <w:tcBorders>
              <w:left w:val="nil"/>
            </w:tcBorders>
          </w:tcPr>
          <w:p>
            <w:pPr>
              <w:pStyle w:val="TableParagraph"/>
              <w:rPr>
                <w:sz w:val="19"/>
              </w:rPr>
            </w:pPr>
            <w:r>
              <w:rPr>
                <w:color w:val="202020"/>
                <w:sz w:val="19"/>
              </w:rPr>
              <w:t>Netherlands</w:t>
            </w:r>
          </w:p>
        </w:tc>
        <w:tc>
          <w:tcPr>
            <w:tcW w:w="5939" w:type="dxa"/>
          </w:tcPr>
          <w:p>
            <w:pPr>
              <w:pStyle w:val="TableParagraph"/>
              <w:rPr>
                <w:sz w:val="19"/>
              </w:rPr>
            </w:pPr>
            <w:r>
              <w:rPr>
                <w:color w:val="202020"/>
                <w:sz w:val="19"/>
              </w:rPr>
              <w:t>2.20371</w:t>
            </w:r>
          </w:p>
        </w:tc>
        <w:tc>
          <w:tcPr>
            <w:tcW w:w="3869" w:type="dxa"/>
            <w:tcBorders>
              <w:right w:val="nil"/>
            </w:tcBorders>
          </w:tcPr>
          <w:p>
            <w:pPr>
              <w:pStyle w:val="TableParagraph"/>
              <w:rPr>
                <w:sz w:val="19"/>
              </w:rPr>
            </w:pPr>
            <w:r>
              <w:rPr>
                <w:color w:val="202020"/>
                <w:sz w:val="19"/>
              </w:rPr>
              <w:t>NLG</w:t>
            </w:r>
          </w:p>
        </w:tc>
      </w:tr>
      <w:tr>
        <w:trPr>
          <w:trHeight w:val="404" w:hRule="atLeast"/>
        </w:trPr>
        <w:tc>
          <w:tcPr>
            <w:tcW w:w="5783" w:type="dxa"/>
            <w:tcBorders>
              <w:left w:val="nil"/>
            </w:tcBorders>
          </w:tcPr>
          <w:p>
            <w:pPr>
              <w:pStyle w:val="TableParagraph"/>
              <w:rPr>
                <w:sz w:val="19"/>
              </w:rPr>
            </w:pPr>
            <w:r>
              <w:rPr>
                <w:color w:val="202020"/>
                <w:sz w:val="19"/>
              </w:rPr>
              <w:t>Portugal</w:t>
            </w:r>
          </w:p>
        </w:tc>
        <w:tc>
          <w:tcPr>
            <w:tcW w:w="5939" w:type="dxa"/>
          </w:tcPr>
          <w:p>
            <w:pPr>
              <w:pStyle w:val="TableParagraph"/>
              <w:rPr>
                <w:sz w:val="19"/>
              </w:rPr>
            </w:pPr>
            <w:r>
              <w:rPr>
                <w:color w:val="202020"/>
                <w:sz w:val="19"/>
              </w:rPr>
              <w:t>200.482</w:t>
            </w:r>
          </w:p>
        </w:tc>
        <w:tc>
          <w:tcPr>
            <w:tcW w:w="3869" w:type="dxa"/>
            <w:tcBorders>
              <w:right w:val="nil"/>
            </w:tcBorders>
          </w:tcPr>
          <w:p>
            <w:pPr>
              <w:pStyle w:val="TableParagraph"/>
              <w:rPr>
                <w:sz w:val="19"/>
              </w:rPr>
            </w:pPr>
            <w:r>
              <w:rPr>
                <w:color w:val="202020"/>
                <w:sz w:val="19"/>
              </w:rPr>
              <w:t>PTE</w:t>
            </w:r>
          </w:p>
        </w:tc>
      </w:tr>
      <w:tr>
        <w:trPr>
          <w:trHeight w:val="404" w:hRule="atLeast"/>
        </w:trPr>
        <w:tc>
          <w:tcPr>
            <w:tcW w:w="5783" w:type="dxa"/>
            <w:tcBorders>
              <w:left w:val="nil"/>
            </w:tcBorders>
          </w:tcPr>
          <w:p>
            <w:pPr>
              <w:pStyle w:val="TableParagraph"/>
              <w:rPr>
                <w:sz w:val="19"/>
              </w:rPr>
            </w:pPr>
            <w:r>
              <w:rPr>
                <w:color w:val="202020"/>
                <w:sz w:val="19"/>
              </w:rPr>
              <w:t>Spain</w:t>
            </w:r>
          </w:p>
        </w:tc>
        <w:tc>
          <w:tcPr>
            <w:tcW w:w="5939" w:type="dxa"/>
          </w:tcPr>
          <w:p>
            <w:pPr>
              <w:pStyle w:val="TableParagraph"/>
              <w:rPr>
                <w:sz w:val="19"/>
              </w:rPr>
            </w:pPr>
            <w:r>
              <w:rPr>
                <w:color w:val="202020"/>
                <w:sz w:val="19"/>
              </w:rPr>
              <w:t>166.386</w:t>
            </w:r>
          </w:p>
        </w:tc>
        <w:tc>
          <w:tcPr>
            <w:tcW w:w="3869" w:type="dxa"/>
            <w:tcBorders>
              <w:right w:val="nil"/>
            </w:tcBorders>
          </w:tcPr>
          <w:p>
            <w:pPr>
              <w:pStyle w:val="TableParagraph"/>
              <w:rPr>
                <w:sz w:val="19"/>
              </w:rPr>
            </w:pPr>
            <w:r>
              <w:rPr>
                <w:color w:val="202020"/>
                <w:sz w:val="19"/>
              </w:rPr>
              <w:t>ESP</w:t>
            </w:r>
          </w:p>
        </w:tc>
      </w:tr>
    </w:tbl>
    <w:p>
      <w:pPr>
        <w:pStyle w:val="BodyText"/>
        <w:spacing w:before="4"/>
        <w:ind w:left="0"/>
        <w:rPr>
          <w:sz w:val="16"/>
        </w:rPr>
      </w:pPr>
    </w:p>
    <w:p>
      <w:pPr>
        <w:pStyle w:val="BodyText"/>
        <w:spacing w:line="237" w:lineRule="auto" w:before="1"/>
        <w:ind w:right="241"/>
      </w:pPr>
      <w:r>
        <w:rPr/>
        <w:t>Any valuation queries arising from this Notice should be directed to Ms Lee Deegan on telephone (02) 6275 5610. COMPILE/EDIFICE queries may be referred to Mr Ray Carter on (02) 6275 6423 and EXIT queries to Mr Warren Benson on (02) 6275 6558.</w:t>
      </w:r>
    </w:p>
    <w:p>
      <w:pPr>
        <w:pStyle w:val="BodyText"/>
        <w:spacing w:before="5"/>
        <w:ind w:left="0"/>
        <w:rPr>
          <w:sz w:val="16"/>
        </w:rPr>
      </w:pPr>
    </w:p>
    <w:p>
      <w:pPr>
        <w:pStyle w:val="BodyText"/>
        <w:spacing w:line="237" w:lineRule="auto"/>
        <w:ind w:right="13894"/>
      </w:pPr>
      <w:r>
        <w:rPr/>
        <w:t>Debbie Bates National Manager Tariff</w:t>
      </w:r>
    </w:p>
    <w:p>
      <w:pPr>
        <w:pStyle w:val="BodyText"/>
        <w:spacing w:line="216" w:lineRule="exact"/>
      </w:pPr>
      <w:r>
        <w:rPr/>
        <w:t>for</w:t>
      </w:r>
    </w:p>
    <w:p>
      <w:pPr>
        <w:pStyle w:val="BodyText"/>
        <w:spacing w:line="475" w:lineRule="auto"/>
        <w:ind w:right="13693"/>
      </w:pPr>
      <w:r>
        <w:rPr/>
        <w:t>Chief Executive Officer 7 January 1999</w:t>
      </w:r>
    </w:p>
    <w:sectPr>
      <w:type w:val="continuous"/>
      <w:pgSz w:w="16840" w:h="11900" w:orient="landscape"/>
      <w:pgMar w:top="6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2020-12-09T22:33:56Z</dcterms:created>
  <dcterms:modified xsi:type="dcterms:W3CDTF">2020-12-09T22:33:56Z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