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22</w:t>
      </w:r>
    </w:p>
    <w:p>
      <w:pPr>
        <w:spacing w:line="312" w:lineRule="auto" w:before="390"/>
        <w:ind w:left="100" w:right="539" w:firstLine="0"/>
        <w:jc w:val="left"/>
        <w:rPr>
          <w:b/>
          <w:sz w:val="36"/>
        </w:rPr>
      </w:pPr>
      <w:r>
        <w:rPr>
          <w:b/>
          <w:color w:val="202020"/>
          <w:sz w:val="36"/>
        </w:rPr>
        <w:t>Change of Address of Applications for Inclusion of Certain Tariff Concession Orders Under Item 65</w:t>
      </w:r>
    </w:p>
    <w:p>
      <w:pPr>
        <w:pStyle w:val="Heading1"/>
        <w:numPr>
          <w:ilvl w:val="0"/>
          <w:numId w:val="1"/>
        </w:numPr>
        <w:tabs>
          <w:tab w:pos="334" w:val="left" w:leader="none"/>
        </w:tabs>
        <w:spacing w:line="240" w:lineRule="auto" w:before="159" w:after="0"/>
        <w:ind w:left="333" w:right="0" w:hanging="234"/>
        <w:jc w:val="left"/>
      </w:pPr>
      <w:r>
        <w:rPr/>
        <w:t>Background</w:t>
      </w:r>
    </w:p>
    <w:p>
      <w:pPr>
        <w:pStyle w:val="BodyText"/>
        <w:spacing w:before="2"/>
        <w:ind w:left="0"/>
        <w:rPr>
          <w:b/>
          <w:sz w:val="18"/>
        </w:rPr>
      </w:pPr>
    </w:p>
    <w:p>
      <w:pPr>
        <w:pStyle w:val="BodyText"/>
        <w:ind w:right="98"/>
      </w:pPr>
      <w:r>
        <w:rPr/>
        <w:t>In June 1998 </w:t>
      </w:r>
      <w:hyperlink r:id="rId5">
        <w:r>
          <w:rPr>
            <w:color w:val="0F64C7"/>
          </w:rPr>
          <w:t>Australian Customs Notice (ACN) 98/38 </w:t>
        </w:r>
      </w:hyperlink>
      <w:r>
        <w:rPr/>
        <w:t>was issued to advise of the creation of Item 65 in Part III of Schedule 4 to the Customs Tariff Act 1995. This item permits duty free entry of certain inputs to the manufacture of information industries equipment.</w:t>
      </w:r>
    </w:p>
    <w:p>
      <w:pPr>
        <w:pStyle w:val="BodyText"/>
        <w:spacing w:before="10"/>
        <w:ind w:left="0"/>
        <w:rPr>
          <w:sz w:val="17"/>
        </w:rPr>
      </w:pPr>
    </w:p>
    <w:p>
      <w:pPr>
        <w:pStyle w:val="BodyText"/>
        <w:ind w:right="283"/>
        <w:jc w:val="both"/>
      </w:pPr>
      <w:r>
        <w:rPr/>
        <w:t>The purpose of this ACN is to notify applicants for Item 65 of a change of address for lodgement of applications for additional </w:t>
      </w:r>
      <w:r>
        <w:rPr>
          <w:spacing w:val="-5"/>
        </w:rPr>
        <w:t>Tariff </w:t>
      </w:r>
      <w:r>
        <w:rPr/>
        <w:t>Concession Orders to be prescribed to the item. The remaining provisions of ACN 98/38 </w:t>
      </w:r>
      <w:r>
        <w:rPr>
          <w:spacing w:val="-4"/>
        </w:rPr>
        <w:t>still </w:t>
      </w:r>
      <w:r>
        <w:rPr>
          <w:spacing w:val="-3"/>
        </w:rPr>
        <w:t>apply.</w:t>
      </w:r>
    </w:p>
    <w:p>
      <w:pPr>
        <w:pStyle w:val="BodyText"/>
        <w:spacing w:before="10"/>
        <w:ind w:left="0"/>
        <w:rPr>
          <w:sz w:val="17"/>
        </w:rPr>
      </w:pPr>
    </w:p>
    <w:p>
      <w:pPr>
        <w:pStyle w:val="Heading1"/>
        <w:numPr>
          <w:ilvl w:val="0"/>
          <w:numId w:val="1"/>
        </w:numPr>
        <w:tabs>
          <w:tab w:pos="334" w:val="left" w:leader="none"/>
        </w:tabs>
        <w:spacing w:line="240" w:lineRule="auto" w:before="0" w:after="0"/>
        <w:ind w:left="333" w:right="0" w:hanging="234"/>
        <w:jc w:val="left"/>
      </w:pPr>
      <w:r>
        <w:rPr/>
        <w:t>Change of address for making applications</w:t>
      </w:r>
    </w:p>
    <w:p>
      <w:pPr>
        <w:pStyle w:val="BodyText"/>
        <w:spacing w:before="2"/>
        <w:ind w:left="0"/>
        <w:rPr>
          <w:b/>
          <w:sz w:val="18"/>
        </w:rPr>
      </w:pPr>
    </w:p>
    <w:p>
      <w:pPr>
        <w:pStyle w:val="BodyText"/>
        <w:ind w:right="389"/>
      </w:pPr>
      <w:r>
        <w:rPr/>
        <w:pict>
          <v:rect style="position:absolute;margin-left:47.75pt;margin-top:24.098877pt;width:3pt;height:90.75pt;mso-position-horizontal-relative:page;mso-position-vertical-relative:paragraph;z-index:15728640" filled="true" fillcolor="#003366" stroked="false">
            <v:fill type="solid"/>
            <w10:wrap type="none"/>
          </v:rect>
        </w:pict>
      </w:r>
      <w:r>
        <w:rPr/>
        <w:t>As of the date of this ACN applications for the inclusion of additional TCOs under Item 65 to Schedule 4 of the Customs Tariff Act 1995 are to be forwarded to:</w:t>
      </w:r>
    </w:p>
    <w:p>
      <w:pPr>
        <w:spacing w:before="189"/>
        <w:ind w:left="609" w:right="0" w:firstLine="0"/>
        <w:jc w:val="left"/>
        <w:rPr>
          <w:rFonts w:ascii="Georgia"/>
          <w:i/>
          <w:sz w:val="25"/>
        </w:rPr>
      </w:pPr>
      <w:r>
        <w:rPr>
          <w:rFonts w:ascii="Georgia"/>
          <w:i/>
          <w:color w:val="585858"/>
          <w:sz w:val="25"/>
        </w:rPr>
        <w:t>The Manager</w:t>
      </w:r>
    </w:p>
    <w:p>
      <w:pPr>
        <w:spacing w:before="1"/>
        <w:ind w:left="609" w:right="0" w:firstLine="0"/>
        <w:jc w:val="left"/>
        <w:rPr>
          <w:rFonts w:ascii="Georgia"/>
          <w:i/>
          <w:sz w:val="25"/>
        </w:rPr>
      </w:pPr>
      <w:r>
        <w:rPr>
          <w:rFonts w:ascii="Georgia"/>
          <w:i/>
          <w:color w:val="585858"/>
          <w:sz w:val="25"/>
        </w:rPr>
        <w:t>IT Industries Development Section</w:t>
      </w:r>
    </w:p>
    <w:p>
      <w:pPr>
        <w:spacing w:before="1"/>
        <w:ind w:left="609" w:right="1677" w:firstLine="0"/>
        <w:jc w:val="left"/>
        <w:rPr>
          <w:rFonts w:ascii="Georgia"/>
          <w:i/>
          <w:sz w:val="25"/>
        </w:rPr>
      </w:pPr>
      <w:r>
        <w:rPr>
          <w:rFonts w:ascii="Georgia"/>
          <w:i/>
          <w:color w:val="585858"/>
          <w:sz w:val="25"/>
        </w:rPr>
        <w:t>Department of Communications, Information Technology and the Arts GPO Box 2154</w:t>
      </w:r>
    </w:p>
    <w:p>
      <w:pPr>
        <w:spacing w:before="2"/>
        <w:ind w:left="609" w:right="0" w:firstLine="0"/>
        <w:jc w:val="left"/>
        <w:rPr>
          <w:rFonts w:ascii="Georgia"/>
          <w:i/>
          <w:sz w:val="25"/>
        </w:rPr>
      </w:pPr>
      <w:r>
        <w:rPr>
          <w:rFonts w:ascii="Georgia"/>
          <w:i/>
          <w:color w:val="585858"/>
          <w:sz w:val="25"/>
        </w:rPr>
        <w:t>CANBERRA ACT 2600</w:t>
      </w:r>
    </w:p>
    <w:p>
      <w:pPr>
        <w:pStyle w:val="BodyText"/>
        <w:spacing w:before="10"/>
        <w:ind w:left="0"/>
        <w:rPr>
          <w:rFonts w:ascii="Georgia"/>
          <w:i/>
          <w:sz w:val="39"/>
        </w:rPr>
      </w:pPr>
    </w:p>
    <w:p>
      <w:pPr>
        <w:pStyle w:val="BodyText"/>
        <w:jc w:val="both"/>
      </w:pPr>
      <w:r>
        <w:rPr/>
        <w:t>Such applications should contain the information required in paragraph 5 of </w:t>
      </w:r>
      <w:hyperlink r:id="rId5">
        <w:r>
          <w:rPr>
            <w:color w:val="0F64C7"/>
          </w:rPr>
          <w:t>ACN 98/38</w:t>
        </w:r>
      </w:hyperlink>
      <w:r>
        <w:rPr/>
        <w:t>.</w:t>
      </w:r>
    </w:p>
    <w:p>
      <w:pPr>
        <w:pStyle w:val="BodyText"/>
        <w:spacing w:before="2"/>
        <w:ind w:left="0"/>
        <w:rPr>
          <w:sz w:val="18"/>
        </w:rPr>
      </w:pPr>
    </w:p>
    <w:p>
      <w:pPr>
        <w:pStyle w:val="Heading1"/>
        <w:numPr>
          <w:ilvl w:val="0"/>
          <w:numId w:val="1"/>
        </w:numPr>
        <w:tabs>
          <w:tab w:pos="334" w:val="left" w:leader="none"/>
        </w:tabs>
        <w:spacing w:line="240" w:lineRule="auto" w:before="0" w:after="0"/>
        <w:ind w:left="333" w:right="0" w:hanging="234"/>
        <w:jc w:val="left"/>
      </w:pPr>
      <w:r>
        <w:rPr/>
        <w:t>Inquiries</w:t>
      </w:r>
    </w:p>
    <w:p>
      <w:pPr>
        <w:pStyle w:val="BodyText"/>
        <w:spacing w:before="1"/>
        <w:ind w:left="0"/>
        <w:rPr>
          <w:b/>
          <w:sz w:val="18"/>
        </w:rPr>
      </w:pPr>
    </w:p>
    <w:p>
      <w:pPr>
        <w:pStyle w:val="BodyText"/>
      </w:pPr>
      <w:r>
        <w:rPr/>
        <w:t>Queries on the application of Item 65 to particular goods should be made to the Manager, IT Industries Development Section, Department of Communications, Information Technology and the Arts telephone (02) 6271 1744.</w:t>
      </w:r>
    </w:p>
    <w:p>
      <w:pPr>
        <w:pStyle w:val="BodyText"/>
        <w:spacing w:before="10"/>
        <w:ind w:left="0"/>
        <w:rPr>
          <w:sz w:val="17"/>
        </w:rPr>
      </w:pPr>
    </w:p>
    <w:p>
      <w:pPr>
        <w:pStyle w:val="BodyText"/>
      </w:pPr>
      <w:r>
        <w:rPr/>
        <w:t>Any other Item 65 inquiries should be directed to the Assistant Director, Policy By-laws Section, Australian Customs Service on telephone (02) 6275 6474.</w:t>
      </w:r>
    </w:p>
    <w:p>
      <w:pPr>
        <w:pStyle w:val="BodyText"/>
        <w:ind w:left="0"/>
        <w:rPr>
          <w:sz w:val="18"/>
        </w:rPr>
      </w:pPr>
    </w:p>
    <w:p>
      <w:pPr>
        <w:pStyle w:val="BodyText"/>
        <w:spacing w:line="241" w:lineRule="exact" w:before="1"/>
      </w:pPr>
      <w:r>
        <w:rPr/>
        <w:t>MARION GRANT</w:t>
      </w:r>
    </w:p>
    <w:p>
      <w:pPr>
        <w:pStyle w:val="BodyText"/>
        <w:ind w:right="8922"/>
      </w:pPr>
      <w:r>
        <w:rPr/>
        <w:t>National Manager Industry</w:t>
      </w:r>
    </w:p>
    <w:p>
      <w:pPr>
        <w:pStyle w:val="BodyText"/>
        <w:spacing w:line="238" w:lineRule="exact"/>
      </w:pPr>
      <w:r>
        <w:rPr/>
        <w:t>For</w:t>
      </w:r>
    </w:p>
    <w:p>
      <w:pPr>
        <w:pStyle w:val="BodyText"/>
        <w:spacing w:line="240" w:lineRule="exact"/>
      </w:pPr>
      <w:r>
        <w:rPr/>
        <w:t>CHIEF EXECUTIVE OFFICER</w:t>
      </w:r>
    </w:p>
    <w:p>
      <w:pPr>
        <w:pStyle w:val="BodyText"/>
        <w:spacing w:line="241" w:lineRule="exact"/>
        <w:jc w:val="both"/>
      </w:pPr>
      <w:r>
        <w:rPr/>
        <w:t>February 1999</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76" w:hanging="234"/>
      </w:pPr>
      <w:rPr>
        <w:rFonts w:hint="default"/>
      </w:rPr>
    </w:lvl>
    <w:lvl w:ilvl="2">
      <w:start w:val="0"/>
      <w:numFmt w:val="bullet"/>
      <w:lvlText w:val="•"/>
      <w:lvlJc w:val="left"/>
      <w:pPr>
        <w:ind w:left="2412" w:hanging="234"/>
      </w:pPr>
      <w:rPr>
        <w:rFonts w:hint="default"/>
      </w:rPr>
    </w:lvl>
    <w:lvl w:ilvl="3">
      <w:start w:val="0"/>
      <w:numFmt w:val="bullet"/>
      <w:lvlText w:val="•"/>
      <w:lvlJc w:val="left"/>
      <w:pPr>
        <w:ind w:left="3448" w:hanging="234"/>
      </w:pPr>
      <w:rPr>
        <w:rFonts w:hint="default"/>
      </w:rPr>
    </w:lvl>
    <w:lvl w:ilvl="4">
      <w:start w:val="0"/>
      <w:numFmt w:val="bullet"/>
      <w:lvlText w:val="•"/>
      <w:lvlJc w:val="left"/>
      <w:pPr>
        <w:ind w:left="4484" w:hanging="234"/>
      </w:pPr>
      <w:rPr>
        <w:rFonts w:hint="default"/>
      </w:rPr>
    </w:lvl>
    <w:lvl w:ilvl="5">
      <w:start w:val="0"/>
      <w:numFmt w:val="bullet"/>
      <w:lvlText w:val="•"/>
      <w:lvlJc w:val="left"/>
      <w:pPr>
        <w:ind w:left="5520" w:hanging="234"/>
      </w:pPr>
      <w:rPr>
        <w:rFonts w:hint="default"/>
      </w:rPr>
    </w:lvl>
    <w:lvl w:ilvl="6">
      <w:start w:val="0"/>
      <w:numFmt w:val="bullet"/>
      <w:lvlText w:val="•"/>
      <w:lvlJc w:val="left"/>
      <w:pPr>
        <w:ind w:left="6556" w:hanging="234"/>
      </w:pPr>
      <w:rPr>
        <w:rFonts w:hint="default"/>
      </w:rPr>
    </w:lvl>
    <w:lvl w:ilvl="7">
      <w:start w:val="0"/>
      <w:numFmt w:val="bullet"/>
      <w:lvlText w:val="•"/>
      <w:lvlJc w:val="left"/>
      <w:pPr>
        <w:ind w:left="7592" w:hanging="234"/>
      </w:pPr>
      <w:rPr>
        <w:rFonts w:hint="default"/>
      </w:rPr>
    </w:lvl>
    <w:lvl w:ilvl="8">
      <w:start w:val="0"/>
      <w:numFmt w:val="bullet"/>
      <w:lvlText w:val="•"/>
      <w:lvlJc w:val="left"/>
      <w:pPr>
        <w:ind w:left="8628"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333" w:hanging="234"/>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3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38"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2020-12-09T23:16:32Z</dcterms:created>
  <dcterms:modified xsi:type="dcterms:W3CDTF">2020-12-09T23:16:32Z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