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28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t>The following persons have applied to the Chief Executive Officer for a Customs Brokers License.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3"/>
        <w:gridCol w:w="8239"/>
      </w:tblGrid>
      <w:tr>
        <w:trPr>
          <w:trHeight w:val="404" w:hRule="atLeast"/>
        </w:trPr>
        <w:tc>
          <w:tcPr>
            <w:tcW w:w="7353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Phillip James SCEVITY</w:t>
            </w:r>
          </w:p>
        </w:tc>
        <w:tc>
          <w:tcPr>
            <w:tcW w:w="8239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Francisco Javier ASTROZA</w:t>
            </w:r>
          </w:p>
        </w:tc>
      </w:tr>
      <w:tr>
        <w:trPr>
          <w:trHeight w:val="404" w:hRule="atLeast"/>
        </w:trPr>
        <w:tc>
          <w:tcPr>
            <w:tcW w:w="7353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40A Arcadia Street</w:t>
            </w:r>
          </w:p>
        </w:tc>
        <w:tc>
          <w:tcPr>
            <w:tcW w:w="8239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115 Greenfield Road</w:t>
            </w:r>
          </w:p>
        </w:tc>
      </w:tr>
      <w:tr>
        <w:trPr>
          <w:trHeight w:val="404" w:hRule="atLeast"/>
        </w:trPr>
        <w:tc>
          <w:tcPr>
            <w:tcW w:w="7353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PENSHURST NSW 2222</w:t>
            </w:r>
          </w:p>
        </w:tc>
        <w:tc>
          <w:tcPr>
            <w:tcW w:w="8239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BOSSLEY PARK NSW 2176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pict>
          <v:rect style="position:absolute;margin-left:45.9105pt;margin-top:10.940147pt;width:2.70568pt;height:112.285716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0.938042pt;margin-top:19.733606pt;width:2.70568pt;height:81.170397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0"/>
        </w:rPr>
      </w:pPr>
    </w:p>
    <w:p>
      <w:pPr>
        <w:pStyle w:val="Heading1"/>
        <w:spacing w:line="232" w:lineRule="auto" w:before="166"/>
        <w:ind w:right="9305"/>
      </w:pPr>
      <w:r>
        <w:rPr>
          <w:color w:val="585858"/>
        </w:rPr>
        <w:t>Customs Brokers Licensing Group Australian Customs Service</w:t>
      </w:r>
    </w:p>
    <w:p>
      <w:pPr>
        <w:spacing w:line="295" w:lineRule="exact" w:before="0"/>
        <w:ind w:left="1108" w:right="0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5 Constitution Avenue</w:t>
      </w:r>
    </w:p>
    <w:p>
      <w:pPr>
        <w:pStyle w:val="Heading1"/>
        <w:spacing w:line="302" w:lineRule="exact"/>
      </w:pPr>
      <w:r>
        <w:rPr>
          <w:color w:val="585858"/>
        </w:rPr>
        <w:t>CANBERRA ACT 2601</w:t>
      </w: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spacing w:before="203"/>
        <w:ind w:left="108"/>
      </w:pPr>
      <w:r>
        <w:rPr/>
        <w:t>by 29 April 1999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7" w:lineRule="auto" w:before="1"/>
        <w:ind w:left="108" w:right="14105"/>
      </w:pPr>
      <w:r>
        <w:rPr/>
        <w:t>P.G. Burns National Manager</w:t>
      </w:r>
    </w:p>
    <w:p>
      <w:pPr>
        <w:pStyle w:val="BodyText"/>
        <w:spacing w:line="237" w:lineRule="auto"/>
        <w:ind w:left="108" w:right="12363"/>
      </w:pPr>
      <w:r>
        <w:rPr/>
        <w:t>Imports/Exports Management Branch for</w:t>
      </w:r>
    </w:p>
    <w:p>
      <w:pPr>
        <w:pStyle w:val="BodyText"/>
        <w:spacing w:line="237" w:lineRule="auto"/>
        <w:ind w:left="108" w:right="13588"/>
      </w:pPr>
      <w:r>
        <w:rPr/>
        <w:t>Chief Executive Officer 26 March 1999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08"/>
      <w:outlineLvl w:val="1"/>
    </w:pPr>
    <w:rPr>
      <w:rFonts w:ascii="Georgia" w:hAnsi="Georgia" w:eastAsia="Georgia" w:cs="Georgia"/>
      <w:i/>
      <w:sz w:val="27"/>
      <w:szCs w:val="27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2020-12-09T22:33:21Z</dcterms:created>
  <dcterms:modified xsi:type="dcterms:W3CDTF">2020-12-09T22:33:21Z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