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1999 47</w:t>
      </w:r>
    </w:p>
    <w:p>
      <w:pPr>
        <w:spacing w:line="312" w:lineRule="auto" w:before="390"/>
        <w:ind w:left="100" w:right="1239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REDUCTION OF SALES TAX RATE FOR SOME GOODS TAXED AT 32%</w:t>
      </w:r>
    </w:p>
    <w:p>
      <w:pPr>
        <w:pStyle w:val="BodyText"/>
        <w:spacing w:before="159"/>
        <w:ind w:left="100" w:right="625"/>
      </w:pPr>
      <w:r>
        <w:rPr/>
        <w:t>Under the new tax system, from 1 July 2000 sales tax will be replaced by the goods and services tax (GST). Goods that have been taxed at 32% under sales tax legislation will be taxed at 10% under GST legislation.</w:t>
      </w:r>
    </w:p>
    <w:p>
      <w:pPr>
        <w:pStyle w:val="BodyText"/>
        <w:rPr>
          <w:sz w:val="18"/>
        </w:rPr>
      </w:pPr>
    </w:p>
    <w:p>
      <w:pPr>
        <w:pStyle w:val="BodyText"/>
        <w:spacing w:before="1"/>
        <w:ind w:left="100" w:right="227"/>
      </w:pPr>
      <w:r>
        <w:rPr/>
        <w:t>As this difference between the rate of sales tax and GST may lead retailers and customers to delay purchases, the sales tax rate will be reduced to 22% from 29 July 1999 for all goods previously taxed at 32%, except certain fur skin goods, jewellery and precious stones.</w:t>
      </w:r>
    </w:p>
    <w:p>
      <w:pPr>
        <w:pStyle w:val="BodyText"/>
        <w:spacing w:before="9"/>
        <w:rPr>
          <w:sz w:val="17"/>
        </w:rPr>
      </w:pPr>
    </w:p>
    <w:p>
      <w:pPr>
        <w:spacing w:before="1"/>
        <w:ind w:left="100" w:right="858" w:firstLine="0"/>
        <w:jc w:val="left"/>
        <w:rPr>
          <w:sz w:val="21"/>
        </w:rPr>
      </w:pPr>
      <w:r>
        <w:rPr>
          <w:sz w:val="21"/>
        </w:rPr>
        <w:t>The Australian Taxation Office has released </w:t>
      </w:r>
      <w:r>
        <w:rPr>
          <w:i/>
          <w:sz w:val="21"/>
        </w:rPr>
        <w:t>Sales Tax Bulletin Number 39 - Message about the New Tax System </w:t>
      </w:r>
      <w:r>
        <w:rPr>
          <w:sz w:val="21"/>
        </w:rPr>
        <w:t>which deals with this reduction in sales tax in more detail.</w:t>
      </w:r>
    </w:p>
    <w:p>
      <w:pPr>
        <w:pStyle w:val="BodyText"/>
        <w:spacing w:before="11"/>
        <w:rPr>
          <w:sz w:val="17"/>
        </w:rPr>
      </w:pPr>
    </w:p>
    <w:p>
      <w:pPr>
        <w:pStyle w:val="Heading1"/>
      </w:pPr>
      <w:r>
        <w:rPr/>
        <w:t>Which goods are affected?</w:t>
      </w:r>
    </w:p>
    <w:p>
      <w:pPr>
        <w:pStyle w:val="BodyText"/>
        <w:spacing w:before="2"/>
        <w:rPr>
          <w:b/>
          <w:sz w:val="18"/>
        </w:rPr>
      </w:pPr>
    </w:p>
    <w:p>
      <w:pPr>
        <w:spacing w:before="0"/>
        <w:ind w:left="100" w:right="0" w:firstLine="0"/>
        <w:jc w:val="left"/>
        <w:rPr>
          <w:sz w:val="21"/>
        </w:rPr>
      </w:pPr>
      <w:r>
        <w:rPr>
          <w:sz w:val="21"/>
        </w:rPr>
        <w:t>Goods presently covered by Items 4 to 14 in Schedule 5 to the </w:t>
      </w:r>
      <w:r>
        <w:rPr>
          <w:i/>
          <w:sz w:val="21"/>
        </w:rPr>
        <w:t>Sales Tax (Exemptions and Classifications) Act 1992 </w:t>
      </w:r>
      <w:r>
        <w:rPr>
          <w:sz w:val="21"/>
        </w:rPr>
        <w:t>will have their rate of tax reduced to 22% from 29 July 1999.</w:t>
      </w:r>
    </w:p>
    <w:p>
      <w:pPr>
        <w:pStyle w:val="BodyText"/>
        <w:spacing w:line="450" w:lineRule="exact" w:before="44"/>
        <w:ind w:left="393" w:right="7372" w:hanging="294"/>
      </w:pPr>
      <w:r>
        <w:rPr/>
        <w:pict>
          <v:shape style="position:absolute;margin-left:38.75pt;margin-top:38.200001pt;width:3pt;height:3pt;mso-position-horizontal-relative:page;mso-position-vertical-relative:paragraph;z-index:-15771136" coordorigin="775,764" coordsize="60,60" path="m805,824l792,822,783,817,777,807,775,794,777,781,783,771,792,766,805,764,818,766,828,771,833,781,835,794,833,807,828,817,818,822,805,824xe" filled="true" fillcolor="#000000" stroked="false">
            <v:path arrowok="t"/>
            <v:fill type="solid"/>
            <w10:wrap type="none"/>
          </v:shape>
        </w:pict>
      </w:r>
      <w:r>
        <w:rPr/>
        <w:t>The goods covered include certain: studs, sleeve links and tie pins;</w:t>
      </w:r>
    </w:p>
    <w:p>
      <w:pPr>
        <w:pStyle w:val="BodyText"/>
        <w:spacing w:line="194" w:lineRule="exact"/>
        <w:ind w:left="393"/>
      </w:pPr>
      <w:r>
        <w:rPr/>
        <w:pict>
          <v:shape style="position:absolute;margin-left:38.75pt;margin-top:3pt;width:3pt;height:3pt;mso-position-horizontal-relative:page;mso-position-vertical-relative:paragraph;z-index:15729152" coordorigin="775,60" coordsize="60,60" path="m805,120l792,118,783,113,777,103,775,90,777,77,783,67,792,62,805,60,818,62,828,67,833,77,835,90,833,103,828,113,818,118,805,120xe" filled="true" fillcolor="#000000" stroked="false">
            <v:path arrowok="t"/>
            <v:fill type="solid"/>
            <w10:wrap type="none"/>
          </v:shape>
        </w:pict>
      </w:r>
      <w:r>
        <w:rPr/>
        <w:t>precious metal goods and plated ware;</w:t>
      </w:r>
    </w:p>
    <w:p>
      <w:pPr>
        <w:pStyle w:val="BodyText"/>
        <w:ind w:left="393" w:right="7113"/>
      </w:pPr>
      <w:r>
        <w:rPr/>
        <w:pict>
          <v:shape style="position:absolute;margin-left:38.75pt;margin-top:5.348877pt;width:3pt;height:3pt;mso-position-horizontal-relative:page;mso-position-vertical-relative:paragraph;z-index:15729664" coordorigin="775,107" coordsize="60,60" path="m805,167l792,165,783,159,777,150,775,137,777,124,783,114,792,109,805,107,818,109,828,114,833,124,835,137,833,150,828,159,818,165,805,16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.75pt;margin-top:17.348877pt;width:3pt;height:3pt;mso-position-horizontal-relative:page;mso-position-vertical-relative:paragraph;z-index:15730176" coordorigin="775,347" coordsize="60,60" path="m805,407l792,405,783,399,777,390,775,377,777,364,783,354,792,349,805,347,818,349,828,354,833,364,835,377,833,390,828,399,818,405,805,40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.75pt;margin-top:29.348877pt;width:3pt;height:3pt;mso-position-horizontal-relative:page;mso-position-vertical-relative:paragraph;z-index:15730688" coordorigin="775,587" coordsize="60,60" path="m805,647l792,645,783,639,777,630,775,617,777,604,783,594,792,589,805,587,818,589,828,594,833,604,835,617,833,630,828,639,818,645,805,64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.75pt;margin-top:41.348877pt;width:3pt;height:3pt;mso-position-horizontal-relative:page;mso-position-vertical-relative:paragraph;z-index:15731200" coordorigin="775,827" coordsize="60,60" path="m805,887l792,885,783,879,777,870,775,857,777,844,783,834,792,829,805,827,818,829,828,834,833,844,835,857,833,870,828,879,818,885,805,887xe" filled="true" fillcolor="#000000" stroked="false">
            <v:path arrowok="t"/>
            <v:fill type="solid"/>
            <w10:wrap type="none"/>
          </v:shape>
        </w:pict>
      </w:r>
      <w:r>
        <w:rPr/>
        <w:t>watches, clocks and watch bands; binoculars and opera glasses; cameras, including video cameras; photographic enlargers;</w:t>
      </w:r>
    </w:p>
    <w:p>
      <w:pPr>
        <w:pStyle w:val="BodyText"/>
        <w:spacing w:line="235" w:lineRule="exact"/>
        <w:ind w:left="393"/>
      </w:pPr>
      <w:r>
        <w:rPr/>
        <w:pict>
          <v:shape style="position:absolute;margin-left:38.75pt;margin-top:5.052979pt;width:3pt;height:3pt;mso-position-horizontal-relative:page;mso-position-vertical-relative:paragraph;z-index:15731712" coordorigin="775,101" coordsize="60,60" path="m805,161l792,159,783,154,777,144,775,131,777,118,783,109,792,103,805,101,818,103,828,109,833,118,835,131,833,144,828,154,818,159,805,161xe" filled="true" fillcolor="#000000" stroked="false">
            <v:path arrowok="t"/>
            <v:fill type="solid"/>
            <w10:wrap type="none"/>
          </v:shape>
        </w:pict>
      </w:r>
      <w:r>
        <w:rPr/>
        <w:t>film and slide projectors, viewers and screens;</w:t>
      </w:r>
    </w:p>
    <w:p>
      <w:pPr>
        <w:pStyle w:val="BodyText"/>
        <w:ind w:left="393" w:right="3798"/>
      </w:pPr>
      <w:r>
        <w:rPr/>
        <w:pict>
          <v:shape style="position:absolute;margin-left:38.75pt;margin-top:5.348877pt;width:3pt;height:3pt;mso-position-horizontal-relative:page;mso-position-vertical-relative:paragraph;z-index:15732224" coordorigin="775,107" coordsize="60,60" path="m805,167l792,165,783,159,777,150,775,137,777,124,783,114,792,109,805,107,818,109,828,114,833,124,835,137,833,150,828,159,818,165,805,16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.75pt;margin-top:17.348877pt;width:3pt;height:3pt;mso-position-horizontal-relative:page;mso-position-vertical-relative:paragraph;z-index:15732736" coordorigin="775,347" coordsize="60,60" path="m805,407l792,405,783,399,777,390,775,377,777,364,783,354,792,349,805,347,818,349,828,354,833,364,835,377,833,390,828,399,818,405,805,407xe" filled="true" fillcolor="#000000" stroked="false">
            <v:path arrowok="t"/>
            <v:fill type="solid"/>
            <w10:wrap type="none"/>
          </v:shape>
        </w:pict>
      </w:r>
      <w:r>
        <w:rPr/>
        <w:t>tape recorders, video recorders, radios, televisions and stereo players; picture tubes for television receivers;</w:t>
      </w:r>
    </w:p>
    <w:p>
      <w:pPr>
        <w:pStyle w:val="BodyText"/>
        <w:spacing w:line="237" w:lineRule="auto"/>
        <w:ind w:left="393" w:right="3097"/>
      </w:pPr>
      <w:r>
        <w:rPr/>
        <w:pict>
          <v:shape style="position:absolute;margin-left:38.75pt;margin-top:5.250388pt;width:3pt;height:3pt;mso-position-horizontal-relative:page;mso-position-vertical-relative:paragraph;z-index:15733248" coordorigin="775,105" coordsize="60,60" path="m805,165l792,163,783,158,777,148,775,135,777,122,783,113,792,107,805,105,818,107,828,113,833,122,835,135,833,148,828,158,818,163,805,16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.75pt;margin-top:17.250389pt;width:3pt;height:3pt;mso-position-horizontal-relative:page;mso-position-vertical-relative:paragraph;z-index:15733760" coordorigin="775,345" coordsize="60,60" path="m805,405l792,403,783,398,777,388,775,375,777,362,783,353,792,347,805,345,818,347,828,353,833,362,835,375,833,388,828,398,818,403,805,405xe" filled="true" fillcolor="#000000" stroked="false">
            <v:path arrowok="t"/>
            <v:fill type="solid"/>
            <w10:wrap type="none"/>
          </v:shape>
        </w:pict>
      </w:r>
      <w:r>
        <w:rPr/>
        <w:t>slot machines for gambling and amusement operated by coins or tokens; </w:t>
      </w:r>
      <w:r>
        <w:rPr>
          <w:spacing w:val="-6"/>
        </w:rPr>
        <w:t>and </w:t>
      </w:r>
      <w:r>
        <w:rPr/>
        <w:t>parts for many of these goods.</w:t>
      </w:r>
    </w:p>
    <w:p>
      <w:pPr>
        <w:pStyle w:val="BodyText"/>
        <w:rPr>
          <w:sz w:val="18"/>
        </w:rPr>
      </w:pPr>
    </w:p>
    <w:p>
      <w:pPr>
        <w:spacing w:line="446" w:lineRule="auto" w:before="0"/>
        <w:ind w:left="100" w:right="4464" w:firstLine="0"/>
        <w:jc w:val="left"/>
        <w:rPr>
          <w:b/>
          <w:sz w:val="21"/>
        </w:rPr>
      </w:pPr>
      <w:r>
        <w:rPr>
          <w:sz w:val="21"/>
        </w:rPr>
        <w:t>Reference should be made to the exact wording in the </w:t>
      </w:r>
      <w:r>
        <w:rPr>
          <w:spacing w:val="-3"/>
          <w:sz w:val="21"/>
        </w:rPr>
        <w:t>Items. </w:t>
      </w:r>
      <w:r>
        <w:rPr>
          <w:b/>
          <w:sz w:val="21"/>
        </w:rPr>
        <w:t>When will the rate be reduced?</w:t>
      </w:r>
    </w:p>
    <w:p>
      <w:pPr>
        <w:spacing w:line="446" w:lineRule="auto" w:before="2"/>
        <w:ind w:left="100" w:right="3798" w:firstLine="0"/>
        <w:jc w:val="left"/>
        <w:rPr>
          <w:b/>
          <w:sz w:val="21"/>
        </w:rPr>
      </w:pPr>
      <w:r>
        <w:rPr>
          <w:sz w:val="21"/>
        </w:rPr>
        <w:t>The 32% rate on affected goods will be reduced to 22% on 29 July 1999. </w:t>
      </w:r>
      <w:r>
        <w:rPr>
          <w:b/>
          <w:sz w:val="21"/>
        </w:rPr>
        <w:t>Effect of the reduction in rate.</w:t>
      </w:r>
    </w:p>
    <w:p>
      <w:pPr>
        <w:pStyle w:val="BodyText"/>
        <w:spacing w:before="2"/>
        <w:ind w:left="100" w:right="321"/>
      </w:pPr>
      <w:r>
        <w:rPr/>
        <w:t>No systems changes to COMPILE are needed. The rate reduction simply requires you to enter 22% rather than 32% for the sales tax rate on affected goods for goods entered on or after 29 July 1999.</w:t>
      </w:r>
    </w:p>
    <w:p>
      <w:pPr>
        <w:pStyle w:val="BodyText"/>
        <w:spacing w:before="11"/>
        <w:rPr>
          <w:sz w:val="17"/>
        </w:rPr>
      </w:pPr>
    </w:p>
    <w:p>
      <w:pPr>
        <w:pStyle w:val="Heading1"/>
      </w:pPr>
      <w:r>
        <w:rPr/>
        <w:t>Advance entries.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spacing w:before="1"/>
        <w:ind w:left="100" w:right="87"/>
      </w:pPr>
      <w:r>
        <w:rPr/>
        <w:t>Special care will need to be taken with advance entries before 29 July 1999. In this regard, reference should be made to subsection 71A(7) of the </w:t>
      </w:r>
      <w:r>
        <w:rPr>
          <w:i/>
        </w:rPr>
        <w:t>Customs Act 1901</w:t>
      </w:r>
      <w:r>
        <w:rPr/>
        <w:t>. An effect of this provision is that advance entry goods could be subject to a 22% sales tax rate rather than a 32% sales tax rate even though the import entry is communicated to Customs before 29 July 1999.</w:t>
      </w:r>
    </w:p>
    <w:p>
      <w:pPr>
        <w:pStyle w:val="BodyText"/>
        <w:spacing w:before="8"/>
        <w:rPr>
          <w:sz w:val="17"/>
        </w:rPr>
      </w:pPr>
    </w:p>
    <w:p>
      <w:pPr>
        <w:pStyle w:val="Heading1"/>
      </w:pPr>
      <w:r>
        <w:rPr/>
        <w:t>Withdrawn entries.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ind w:left="100" w:right="169"/>
      </w:pPr>
      <w:r>
        <w:rPr/>
        <w:t>Special care will also need to be taken when entries are withdrawn and a later entry made in respect of particular goods. In particular, reference should be made to section 23 of the </w:t>
      </w:r>
      <w:r>
        <w:rPr>
          <w:i/>
        </w:rPr>
        <w:t>Sales Tax Assessment Act 1992</w:t>
      </w:r>
      <w:r>
        <w:rPr/>
        <w:t>. An effect of this provision is that withdrawn entry goods could be subject to a 32% sales tax rate even though an entry is made after 29 July 1999.</w:t>
      </w:r>
    </w:p>
    <w:p>
      <w:pPr>
        <w:pStyle w:val="BodyText"/>
        <w:spacing w:before="8"/>
        <w:rPr>
          <w:sz w:val="17"/>
        </w:rPr>
      </w:pPr>
    </w:p>
    <w:p>
      <w:pPr>
        <w:pStyle w:val="Heading1"/>
      </w:pPr>
      <w:r>
        <w:rPr/>
        <w:t>Entitlements to credit.</w:t>
      </w:r>
    </w:p>
    <w:p>
      <w:pPr>
        <w:spacing w:after="0"/>
        <w:sectPr>
          <w:type w:val="continuous"/>
          <w:pgSz w:w="11900" w:h="16840"/>
          <w:pgMar w:top="700" w:bottom="280" w:left="600" w:right="540"/>
        </w:sectPr>
      </w:pPr>
    </w:p>
    <w:p>
      <w:pPr>
        <w:pStyle w:val="BodyText"/>
        <w:spacing w:before="78"/>
        <w:ind w:left="100"/>
      </w:pPr>
      <w:r>
        <w:rPr/>
        <w:t>Importers may be able to claim a credit for the difference between the sales tax calculated at the 32% rate on the goods and the sales tax calculated at the 22% rate on the goods if:</w:t>
      </w:r>
    </w:p>
    <w:p>
      <w:pPr>
        <w:pStyle w:val="BodyText"/>
        <w:rPr>
          <w:sz w:val="18"/>
        </w:rPr>
      </w:pPr>
    </w:p>
    <w:p>
      <w:pPr>
        <w:pStyle w:val="BodyText"/>
        <w:ind w:left="393" w:right="3097"/>
      </w:pPr>
      <w:r>
        <w:rPr/>
        <w:pict>
          <v:shape style="position:absolute;margin-left:38.75pt;margin-top:5.348877pt;width:3pt;height:3pt;mso-position-horizontal-relative:page;mso-position-vertical-relative:paragraph;z-index:15734272" coordorigin="775,107" coordsize="60,60" path="m805,167l792,165,783,159,777,150,775,137,777,124,783,114,792,109,805,107,818,109,828,114,833,124,835,137,833,150,828,159,818,165,805,16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.75pt;margin-top:17.348877pt;width:3pt;height:3pt;mso-position-horizontal-relative:page;mso-position-vertical-relative:paragraph;z-index:15734784" coordorigin="775,347" coordsize="60,60" path="m805,407l792,405,783,399,777,390,775,377,777,364,783,354,792,349,805,347,818,349,828,354,833,364,835,377,833,390,828,399,818,405,805,407xe" filled="true" fillcolor="#000000" stroked="false">
            <v:path arrowok="t"/>
            <v:fill type="solid"/>
            <w10:wrap type="none"/>
          </v:shape>
        </w:pict>
      </w:r>
      <w:r>
        <w:rPr/>
        <w:t>they were charged sales tax at the higher rate when the goods were imported; they haven't used the goods either in their business or privately; and</w:t>
      </w:r>
    </w:p>
    <w:p>
      <w:pPr>
        <w:pStyle w:val="BodyText"/>
        <w:spacing w:line="239" w:lineRule="exact"/>
        <w:ind w:left="393"/>
      </w:pPr>
      <w:r>
        <w:rPr/>
        <w:pict>
          <v:shape style="position:absolute;margin-left:38.75pt;margin-top:5.200928pt;width:3pt;height:3pt;mso-position-horizontal-relative:page;mso-position-vertical-relative:paragraph;z-index:15735296" coordorigin="775,104" coordsize="60,60" path="m805,164l792,162,783,157,777,147,775,134,777,121,783,112,792,106,805,104,818,106,828,112,833,121,835,134,833,147,828,157,818,162,805,164xe" filled="true" fillcolor="#000000" stroked="false">
            <v:path arrowok="t"/>
            <v:fill type="solid"/>
            <w10:wrap type="none"/>
          </v:shape>
        </w:pict>
      </w:r>
      <w:r>
        <w:rPr/>
        <w:t>they are holding the goods for sale and not for hire or lease on 29 July 1999.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 w:right="146"/>
      </w:pPr>
      <w:r>
        <w:rPr/>
        <w:t>Credits can only be claimed from the Australian Taxation Office. Please refer to Sales Tax Bulletin Number 39 for further details about claiming credits.</w:t>
      </w:r>
    </w:p>
    <w:p>
      <w:pPr>
        <w:pStyle w:val="BodyText"/>
        <w:rPr>
          <w:sz w:val="18"/>
        </w:rPr>
      </w:pPr>
    </w:p>
    <w:p>
      <w:pPr>
        <w:pStyle w:val="BodyText"/>
        <w:ind w:left="100"/>
      </w:pPr>
      <w:r>
        <w:rPr/>
        <w:t>Queries should be directed to Tom Marshall on 02 6275 6863.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/>
      </w:pPr>
      <w:r>
        <w:rPr/>
        <w:t>J H Jeffery National Director Commercial Division For the Chief Executive Officer 16 July 1999</w:t>
      </w:r>
    </w:p>
    <w:sectPr>
      <w:pgSz w:w="11900" w:h="16840"/>
      <w:pgMar w:top="500" w:bottom="280" w:left="60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2020-12-09T22:50:30Z</dcterms:created>
  <dcterms:modified xsi:type="dcterms:W3CDTF">2020-12-09T22:50:30Z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