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60</w:t>
      </w:r>
    </w:p>
    <w:p>
      <w:pPr>
        <w:spacing w:line="312" w:lineRule="auto" w:before="390"/>
        <w:ind w:left="100" w:right="6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Corporate Customs Brokers Licence.</w:t>
      </w:r>
    </w:p>
    <w:p>
      <w:pPr>
        <w:spacing w:before="192"/>
        <w:ind w:left="609" w:right="4653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20"/>
          <w:sz w:val="25"/>
        </w:rPr>
        <w:t>Worrldwide Freight Services Pty. Ltd. Beachley Street</w:t>
      </w:r>
    </w:p>
    <w:p>
      <w:pPr>
        <w:spacing w:before="2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TOTTENHAM VIC 3012</w:t>
      </w:r>
    </w:p>
    <w:p>
      <w:pPr>
        <w:pStyle w:val="BodyText"/>
        <w:spacing w:before="5"/>
        <w:rPr>
          <w:rFonts w:ascii="Georgia"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512403pt;width:3pt;height:40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</w:rPr>
        <w:t>Persons in Authority</w:t>
      </w:r>
    </w:p>
    <w:p>
      <w:pPr>
        <w:pStyle w:val="Heading1"/>
      </w:pPr>
      <w:r>
        <w:rPr>
          <w:color w:val="585858"/>
        </w:rPr>
        <w:t>Shane Terrance Trinca, NSW</w:t>
      </w:r>
    </w:p>
    <w:p>
      <w:pPr>
        <w:pStyle w:val="BodyText"/>
        <w:spacing w:before="7"/>
        <w:rPr>
          <w:rFonts w:ascii="Georgia"/>
          <w:i/>
          <w:sz w:val="46"/>
        </w:rPr>
      </w:pPr>
    </w:p>
    <w:p>
      <w:pPr>
        <w:spacing w:before="0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462402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</w:rPr>
        <w:t>Nominees</w:t>
      </w:r>
    </w:p>
    <w:p>
      <w:pPr>
        <w:pStyle w:val="Heading1"/>
      </w:pPr>
      <w:r>
        <w:rPr>
          <w:color w:val="585858"/>
        </w:rPr>
        <w:t>K Richiardi, licence no 522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731"/>
      </w:pPr>
      <w:r>
        <w:rPr/>
        <w:pict>
          <v:rect style="position:absolute;margin-left:47.75pt;margin-top:34.598877pt;width:3pt;height:124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89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  <w:ind w:right="4323"/>
      </w:pPr>
      <w:r>
        <w:rPr>
          <w:color w:val="585858"/>
        </w:rPr>
        <w:t>Australian Customs Service Customs Brokers Licensing Group 5 Constitution Avenue</w:t>
      </w:r>
    </w:p>
    <w:p>
      <w:pPr>
        <w:spacing w:line="331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09"/>
        <w:ind w:left="100"/>
      </w:pPr>
      <w:r>
        <w:rPr/>
        <w:t>by 15 October 1999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4"/>
        <w:ind w:left="100" w:right="8482"/>
      </w:pPr>
      <w:r>
        <w:rPr/>
        <w:t>P.G. Burns National Manager</w:t>
      </w:r>
    </w:p>
    <w:p>
      <w:pPr>
        <w:pStyle w:val="BodyText"/>
        <w:spacing w:line="237" w:lineRule="auto"/>
        <w:ind w:left="100" w:right="7595"/>
      </w:pPr>
      <w:r>
        <w:rPr/>
        <w:t>Import/Export Management for</w:t>
      </w:r>
    </w:p>
    <w:p>
      <w:pPr>
        <w:pStyle w:val="BodyText"/>
        <w:spacing w:line="477" w:lineRule="auto"/>
        <w:ind w:left="100" w:right="7810"/>
      </w:pPr>
      <w:r>
        <w:rPr/>
        <w:t>Chief Executive Officer 17 September 1999</w:t>
      </w:r>
    </w:p>
    <w:sectPr>
      <w:type w:val="continuous"/>
      <w:pgSz w:w="11900" w:h="16840"/>
      <w:pgMar w:top="700" w:bottom="280" w:left="6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40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2020-12-09T22:44:02Z</dcterms:created>
  <dcterms:modified xsi:type="dcterms:W3CDTF">2020-12-09T22:44:02Z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