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62</w:t>
      </w:r>
    </w:p>
    <w:p>
      <w:pPr>
        <w:spacing w:line="312" w:lineRule="auto" w:before="390"/>
        <w:ind w:left="100" w:right="259" w:firstLine="0"/>
        <w:jc w:val="left"/>
        <w:rPr>
          <w:b/>
          <w:sz w:val="36"/>
        </w:rPr>
      </w:pPr>
      <w:r>
        <w:rPr>
          <w:b/>
          <w:color w:val="202020"/>
          <w:sz w:val="36"/>
        </w:rPr>
        <w:t>NOTICES OF OBJECTION TO IMPORTATION TRADE MARKS ACT 1995</w:t>
      </w:r>
    </w:p>
    <w:p>
      <w:pPr>
        <w:pStyle w:val="BodyText"/>
        <w:spacing w:before="159"/>
        <w:ind w:left="100" w:right="88"/>
      </w:pPr>
      <w:r>
        <w:rPr/>
        <w:pict>
          <v:rect style="position:absolute;margin-left:47.75pt;margin-top:176.048874pt;width:3pt;height:108pt;mso-position-horizontal-relative:page;mso-position-vertical-relative:paragraph;z-index:15728640" filled="true" fillcolor="#003366" stroked="false">
            <v:fill type="solid"/>
            <w10:wrap type="none"/>
          </v:rect>
        </w:pict>
      </w:r>
      <w:r>
        <w:rPr/>
        <w:pict>
          <v:rect style="position:absolute;margin-left:75.5pt;margin-top:185.798874pt;width:3pt;height:73.5pt;mso-position-horizontal-relative:page;mso-position-vertical-relative:paragraph;z-index:15729152" filled="true" fillcolor="#003366" stroked="false">
            <v:fill type="solid"/>
            <w10:wrap type="none"/>
          </v:rect>
        </w:pict>
      </w: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 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 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rPr>
          <w:sz w:val="22"/>
        </w:rPr>
      </w:pPr>
    </w:p>
    <w:p>
      <w:pPr>
        <w:spacing w:line="232" w:lineRule="auto" w:before="167"/>
        <w:ind w:left="1209" w:right="259" w:firstLine="0"/>
        <w:jc w:val="left"/>
        <w:rPr>
          <w:rFonts w:ascii="Georgia"/>
          <w:i/>
          <w:sz w:val="30"/>
        </w:rPr>
      </w:pPr>
      <w:r>
        <w:rPr>
          <w:rFonts w:ascii="Georgia"/>
          <w:i/>
          <w:color w:val="585858"/>
          <w:sz w:val="30"/>
        </w:rPr>
        <w:t>- the goods are being imported otherwise than for the purposes of trade (sale, lease, hire, etc.); or - the goods do not infringe the relevant trade mark.</w:t>
      </w:r>
    </w:p>
    <w:p>
      <w:pPr>
        <w:pStyle w:val="BodyText"/>
        <w:rPr>
          <w:rFonts w:ascii="Georgia"/>
          <w:i/>
          <w:sz w:val="34"/>
        </w:rPr>
      </w:pPr>
    </w:p>
    <w:p>
      <w:pPr>
        <w:pStyle w:val="BodyText"/>
        <w:rPr>
          <w:rFonts w:ascii="Georgia"/>
          <w:i/>
          <w:sz w:val="34"/>
        </w:rPr>
      </w:pPr>
    </w:p>
    <w:p>
      <w:pPr>
        <w:pStyle w:val="BodyText"/>
        <w:spacing w:before="210"/>
        <w:ind w:left="100" w:right="142"/>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 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 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(P G BURNS) National Manager Import/Export Management Branch for Chief Executive Officer October 1999</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2020-12-09T22:48:14Z</dcterms:created>
  <dcterms:modified xsi:type="dcterms:W3CDTF">2020-12-09T22:48:14Z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