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1999 69</w:t>
      </w:r>
    </w:p>
    <w:p>
      <w:pPr>
        <w:spacing w:before="357"/>
        <w:ind w:left="108" w:right="0" w:firstLine="0"/>
        <w:jc w:val="left"/>
        <w:rPr>
          <w:b/>
          <w:sz w:val="32"/>
        </w:rPr>
      </w:pPr>
      <w:r>
        <w:rPr>
          <w:b/>
          <w:color w:val="202020"/>
          <w:sz w:val="32"/>
        </w:rPr>
        <w:t>TEMPORARY IMPORTS - FACT SHEET ATTACHMENT C to 99/69</w:t>
      </w:r>
    </w:p>
    <w:p>
      <w:pPr>
        <w:pStyle w:val="BodyText"/>
        <w:spacing w:before="254"/>
        <w:ind w:left="108"/>
      </w:pPr>
      <w:r>
        <w:rPr/>
        <w:t>This paper provides guidance for personal and commercial importers wishing to use the provisions for temporary duty free admission of goods intended to be re-exported.</w:t>
      </w:r>
    </w:p>
    <w:p>
      <w:pPr>
        <w:pStyle w:val="BodyText"/>
        <w:spacing w:before="5"/>
        <w:rPr>
          <w:sz w:val="16"/>
        </w:rPr>
      </w:pPr>
    </w:p>
    <w:p>
      <w:pPr>
        <w:pStyle w:val="BodyText"/>
        <w:spacing w:line="237" w:lineRule="auto"/>
        <w:ind w:left="108" w:right="515"/>
      </w:pPr>
      <w:r>
        <w:rPr/>
        <w:t>The contents should be read in conjunction with Australian Customs Notice 99/69 of 18 November 1999 which explains the new Section 162AA provisions and notifies importers and exporters of new requirements to lodge a formal application for Section 162A goods arriving without carnet.</w:t>
      </w:r>
    </w:p>
    <w:p>
      <w:pPr>
        <w:pStyle w:val="BodyText"/>
        <w:spacing w:before="4"/>
        <w:rPr>
          <w:sz w:val="16"/>
        </w:rPr>
      </w:pPr>
    </w:p>
    <w:p>
      <w:pPr>
        <w:pStyle w:val="BodyText"/>
        <w:ind w:left="108"/>
      </w:pPr>
      <w:r>
        <w:rPr/>
        <w:t>Applications for temporary duty free admission can be lodged under the following provisions:</w:t>
      </w:r>
    </w:p>
    <w:p>
      <w:pPr>
        <w:pStyle w:val="BodyText"/>
        <w:rPr>
          <w:sz w:val="24"/>
        </w:rPr>
      </w:pPr>
    </w:p>
    <w:p>
      <w:pPr>
        <w:pStyle w:val="Heading1"/>
        <w:numPr>
          <w:ilvl w:val="0"/>
          <w:numId w:val="1"/>
        </w:numPr>
        <w:tabs>
          <w:tab w:pos="379" w:val="left" w:leader="none"/>
        </w:tabs>
        <w:spacing w:line="240" w:lineRule="auto" w:before="0" w:after="0"/>
        <w:ind w:left="378" w:right="0" w:hanging="271"/>
        <w:jc w:val="left"/>
      </w:pPr>
      <w:r>
        <w:rPr>
          <w:color w:val="202020"/>
        </w:rPr>
        <w:t>SECTION 162A/REGULATION 125A </w:t>
      </w:r>
      <w:r>
        <w:rPr>
          <w:color w:val="202020"/>
          <w:spacing w:val="-3"/>
        </w:rPr>
        <w:t>(OLYMPIC</w:t>
      </w:r>
      <w:r>
        <w:rPr>
          <w:color w:val="202020"/>
          <w:spacing w:val="2"/>
        </w:rPr>
        <w:t> </w:t>
      </w:r>
      <w:r>
        <w:rPr>
          <w:color w:val="202020"/>
        </w:rPr>
        <w:t>PROVISIONS)</w:t>
      </w:r>
    </w:p>
    <w:p>
      <w:pPr>
        <w:pStyle w:val="BodyText"/>
        <w:rPr>
          <w:b/>
          <w:sz w:val="26"/>
        </w:rPr>
      </w:pPr>
    </w:p>
    <w:p>
      <w:pPr>
        <w:pStyle w:val="BodyText"/>
        <w:spacing w:line="237" w:lineRule="auto" w:before="150"/>
        <w:ind w:left="108" w:right="296"/>
      </w:pPr>
      <w:r>
        <w:rPr/>
        <w:t>This provision caters for goods imported in connection with the Sydney 2000 Olympic and Paralympic Games and associated events ("Olympics"). All goods admitted under Regulation 125A must be re-exported by 31 December 2000, or such further period as the Customs may allow on application.</w:t>
      </w:r>
    </w:p>
    <w:p>
      <w:pPr>
        <w:pStyle w:val="BodyText"/>
        <w:spacing w:before="6"/>
        <w:rPr>
          <w:sz w:val="16"/>
        </w:rPr>
      </w:pPr>
    </w:p>
    <w:p>
      <w:pPr>
        <w:pStyle w:val="BodyText"/>
        <w:spacing w:line="237" w:lineRule="auto"/>
        <w:ind w:left="108" w:right="185"/>
      </w:pPr>
      <w:r>
        <w:rPr/>
        <w:t>Importers must now apply for permission to take delivery of such goods on "Application for Permission to Take Delivery of Goods Upon Giving a Security or Undertaking for the Payment of Duty" - Form 46A (applicable to Olympic goods only).</w:t>
      </w:r>
    </w:p>
    <w:p>
      <w:pPr>
        <w:pStyle w:val="BodyText"/>
        <w:spacing w:before="4"/>
        <w:rPr>
          <w:sz w:val="16"/>
        </w:rPr>
      </w:pPr>
    </w:p>
    <w:p>
      <w:pPr>
        <w:pStyle w:val="Heading2"/>
      </w:pPr>
      <w:r>
        <w:rPr/>
        <w:t>Electronic/documentary lodgement</w:t>
      </w:r>
    </w:p>
    <w:p>
      <w:pPr>
        <w:pStyle w:val="BodyText"/>
        <w:spacing w:before="3"/>
        <w:rPr>
          <w:b/>
          <w:sz w:val="16"/>
        </w:rPr>
      </w:pPr>
    </w:p>
    <w:p>
      <w:pPr>
        <w:pStyle w:val="BodyText"/>
        <w:ind w:left="373"/>
      </w:pPr>
      <w:r>
        <w:rPr/>
        <w:pict>
          <v:shape style="position:absolute;margin-left:37.793461pt;margin-top:4.852381pt;width:2.75pt;height:2.75pt;mso-position-horizontal-relative:page;mso-position-vertical-relative:paragraph;z-index:15728640" coordorigin="756,97" coordsize="55,55" path="m801,151l765,151,756,142,756,106,765,97,801,97,810,106,810,124,810,142,801,151xe" filled="true" fillcolor="#000000" stroked="false">
            <v:path arrowok="t"/>
            <v:fill type="solid"/>
            <w10:wrap type="none"/>
          </v:shape>
        </w:pict>
      </w:r>
      <w:r>
        <w:rPr/>
        <w:t>Determine the goods are eligible for temporary duty free admission.</w:t>
      </w:r>
    </w:p>
    <w:p>
      <w:pPr>
        <w:pStyle w:val="BodyText"/>
        <w:spacing w:before="4"/>
        <w:rPr>
          <w:sz w:val="16"/>
        </w:rPr>
      </w:pPr>
    </w:p>
    <w:p>
      <w:pPr>
        <w:pStyle w:val="BodyText"/>
        <w:ind w:left="373"/>
      </w:pPr>
      <w:r>
        <w:rPr/>
        <w:pict>
          <v:shape style="position:absolute;margin-left:37.793461pt;margin-top:4.852378pt;width:2.75pt;height:2.75pt;mso-position-horizontal-relative:page;mso-position-vertical-relative:paragraph;z-index:15729152" coordorigin="756,97" coordsize="55,55" path="m801,151l765,151,756,142,756,106,765,97,801,97,810,106,810,124,810,142,801,151xe" filled="true" fillcolor="#000000" stroked="false">
            <v:path arrowok="t"/>
            <v:fill type="solid"/>
            <w10:wrap type="none"/>
          </v:shape>
        </w:pict>
      </w:r>
      <w:r>
        <w:rPr/>
        <w:t>Complete and lodge Form 46A with supporting documentation such as invoices, packing lists, waybills, etc. with the Securities/Auxiliaries area in the port of import.</w:t>
      </w:r>
    </w:p>
    <w:p>
      <w:pPr>
        <w:pStyle w:val="BodyText"/>
        <w:spacing w:before="5"/>
        <w:rPr>
          <w:sz w:val="16"/>
        </w:rPr>
      </w:pPr>
    </w:p>
    <w:p>
      <w:pPr>
        <w:pStyle w:val="BodyText"/>
        <w:spacing w:line="237" w:lineRule="auto"/>
        <w:ind w:left="373" w:right="577"/>
      </w:pPr>
      <w:r>
        <w:rPr/>
        <w:pict>
          <v:shape style="position:absolute;margin-left:37.793461pt;margin-top:4.763266pt;width:2.75pt;height:2.75pt;mso-position-horizontal-relative:page;mso-position-vertical-relative:paragraph;z-index:15729664" coordorigin="756,95" coordsize="55,55" path="m801,149l765,149,756,140,756,104,765,95,801,95,810,104,810,122,810,140,801,149xe" filled="true" fillcolor="#000000" stroked="false">
            <v:path arrowok="t"/>
            <v:fill type="solid"/>
            <w10:wrap type="none"/>
          </v:shape>
        </w:pict>
      </w:r>
      <w:r>
        <w:rPr/>
        <w:t>Securities will allocate a continuing or single permission security concession number (SCN), which can be quoted up to the registered value on all applications submitted through COMPILE.</w:t>
      </w:r>
    </w:p>
    <w:p>
      <w:pPr>
        <w:pStyle w:val="BodyText"/>
        <w:spacing w:before="6"/>
        <w:rPr>
          <w:sz w:val="16"/>
        </w:rPr>
      </w:pPr>
    </w:p>
    <w:p>
      <w:pPr>
        <w:pStyle w:val="BodyText"/>
        <w:spacing w:line="237" w:lineRule="auto"/>
        <w:ind w:left="373" w:right="251"/>
      </w:pPr>
      <w:r>
        <w:rPr/>
        <w:pict>
          <v:shape style="position:absolute;margin-left:37.793461pt;margin-top:4.763258pt;width:2.75pt;height:2.75pt;mso-position-horizontal-relative:page;mso-position-vertical-relative:paragraph;z-index:15730176" coordorigin="756,95" coordsize="55,55" path="m801,149l765,149,756,140,756,104,765,95,801,95,810,104,810,122,810,140,801,149xe" filled="true" fillcolor="#000000" stroked="false">
            <v:path arrowok="t"/>
            <v:fill type="solid"/>
            <w10:wrap type="none"/>
          </v:shape>
        </w:pict>
      </w:r>
      <w:r>
        <w:rPr/>
        <w:t>Both the SCN and the new treatment code specific to Olympic goods (353) must be quoted on the COMPILE application. Treatment code 353 will exempt applications from Customs COMPILE processing charges. All remaining goods temporarily admitted under Section 162A (including goods arriving without a carnet) will not attract the processing charges. (</w:t>
      </w:r>
      <w:r>
        <w:rPr>
          <w:b/>
        </w:rPr>
        <w:t>Note: </w:t>
      </w:r>
      <w:r>
        <w:rPr/>
        <w:t>COMPILE will produce an error message if the user inputs the incorrect treatment code or mixes permanent imports with temporary imports on the one lodgement).</w:t>
      </w:r>
    </w:p>
    <w:p>
      <w:pPr>
        <w:pStyle w:val="BodyText"/>
        <w:spacing w:before="4"/>
        <w:rPr>
          <w:sz w:val="16"/>
        </w:rPr>
      </w:pPr>
    </w:p>
    <w:p>
      <w:pPr>
        <w:pStyle w:val="BodyText"/>
        <w:spacing w:line="446" w:lineRule="auto"/>
        <w:ind w:left="373" w:right="2952"/>
      </w:pPr>
      <w:r>
        <w:rPr/>
        <w:pict>
          <v:shape style="position:absolute;margin-left:37.793461pt;margin-top:4.852371pt;width:2.75pt;height:2.75pt;mso-position-horizontal-relative:page;mso-position-vertical-relative:paragraph;z-index:15730688" coordorigin="756,97" coordsize="55,55" path="m801,151l765,151,756,142,756,106,765,97,801,97,810,106,810,124,810,142,801,151xe" filled="true" fillcolor="#000000" stroked="false">
            <v:path arrowok="t"/>
            <v:fill type="solid"/>
            <w10:wrap type="none"/>
          </v:shape>
        </w:pict>
      </w:r>
      <w:r>
        <w:rPr/>
        <w:pict>
          <v:shape style="position:absolute;margin-left:37.793461pt;margin-top:25.14497pt;width:2.75pt;height:2.75pt;mso-position-horizontal-relative:page;mso-position-vertical-relative:paragraph;z-index:15731200" coordorigin="756,503" coordsize="55,55" path="m801,557l765,557,756,548,756,512,765,503,801,503,810,512,810,530,810,548,801,557xe" filled="true" fillcolor="#000000" stroked="false">
            <v:path arrowok="t"/>
            <v:fill type="solid"/>
            <w10:wrap type="none"/>
          </v:shape>
        </w:pict>
      </w:r>
      <w:r>
        <w:rPr/>
        <w:t>Quote the common Customs owner code (2873281A) and supplier code (2873284Q) allocated to identify all temporarily imported Olympic goods. The Schedule 3 tariff item must also be quoted when using the new treatment code.</w:t>
      </w:r>
    </w:p>
    <w:p>
      <w:pPr>
        <w:pStyle w:val="BodyText"/>
        <w:spacing w:line="237" w:lineRule="auto" w:before="1"/>
        <w:ind w:left="373" w:right="272"/>
      </w:pPr>
      <w:r>
        <w:rPr/>
        <w:pict>
          <v:shape style="position:absolute;margin-left:37.793461pt;margin-top:4.813263pt;width:2.75pt;height:2.75pt;mso-position-horizontal-relative:page;mso-position-vertical-relative:paragraph;z-index:15731712" coordorigin="756,96" coordsize="55,55" path="m801,150l765,150,756,141,756,105,765,96,801,96,810,105,810,123,810,141,801,150xe" filled="true" fillcolor="#000000" stroked="false">
            <v:path arrowok="t"/>
            <v:fill type="solid"/>
            <w10:wrap type="none"/>
          </v:shape>
        </w:pict>
      </w:r>
      <w:r>
        <w:rPr/>
        <w:t>Goods temporarily imported using COMPILE will be subject to standard response times, as specified in service level agreements. The standard value threshold (A$250) also applies to such goods.</w:t>
      </w:r>
    </w:p>
    <w:p>
      <w:pPr>
        <w:pStyle w:val="BodyText"/>
        <w:spacing w:before="3"/>
        <w:rPr>
          <w:sz w:val="16"/>
        </w:rPr>
      </w:pPr>
    </w:p>
    <w:p>
      <w:pPr>
        <w:pStyle w:val="Heading2"/>
        <w:spacing w:before="1"/>
      </w:pPr>
      <w:r>
        <w:rPr/>
        <w:t>Data capture</w:t>
      </w:r>
    </w:p>
    <w:p>
      <w:pPr>
        <w:pStyle w:val="BodyText"/>
        <w:spacing w:before="3"/>
        <w:rPr>
          <w:b/>
          <w:sz w:val="16"/>
        </w:rPr>
      </w:pPr>
    </w:p>
    <w:p>
      <w:pPr>
        <w:pStyle w:val="BodyText"/>
        <w:spacing w:line="446" w:lineRule="auto"/>
        <w:ind w:left="108" w:right="558"/>
        <w:rPr>
          <w:b/>
        </w:rPr>
      </w:pPr>
      <w:r>
        <w:rPr/>
        <w:t>The existing COMPILE screens will be used to input import data. Existing mandatory fields will be retained and the following fields used to minimise complexity and maintain control. </w:t>
      </w:r>
      <w:r>
        <w:rPr>
          <w:b/>
        </w:rPr>
        <w:t>Fields</w:t>
      </w:r>
    </w:p>
    <w:p>
      <w:pPr>
        <w:pStyle w:val="BodyText"/>
        <w:spacing w:line="217" w:lineRule="exact"/>
        <w:ind w:left="373"/>
      </w:pPr>
      <w:r>
        <w:rPr/>
        <w:pict>
          <v:shape style="position:absolute;margin-left:37.793461pt;margin-top:4.800019pt;width:2.75pt;height:2.75pt;mso-position-horizontal-relative:page;mso-position-vertical-relative:paragraph;z-index:15732224" coordorigin="756,96" coordsize="55,55" path="m801,150l765,150,756,141,756,105,765,96,801,96,810,105,810,123,810,141,801,150xe" filled="true" fillcolor="#000000" stroked="false">
            <v:path arrowok="t"/>
            <v:fill type="solid"/>
            <w10:wrap type="none"/>
          </v:shape>
        </w:pict>
      </w:r>
      <w:r>
        <w:rPr/>
        <w:t>Owner Code</w:t>
      </w:r>
    </w:p>
    <w:p>
      <w:pPr>
        <w:spacing w:after="0" w:line="217" w:lineRule="exact"/>
        <w:sectPr>
          <w:type w:val="continuous"/>
          <w:pgSz w:w="16840" w:h="11900" w:orient="landscape"/>
          <w:pgMar w:top="680" w:bottom="280" w:left="580" w:right="440"/>
        </w:sectPr>
      </w:pPr>
    </w:p>
    <w:p>
      <w:pPr>
        <w:pStyle w:val="BodyText"/>
        <w:spacing w:line="237" w:lineRule="auto" w:before="79"/>
        <w:ind w:left="108" w:right="337"/>
      </w:pPr>
      <w:r>
        <w:rPr/>
        <w:t>2873281A </w:t>
      </w:r>
      <w:r>
        <w:rPr>
          <w:b/>
        </w:rPr>
        <w:t>- </w:t>
      </w:r>
      <w:r>
        <w:rPr/>
        <w:t>this is a generic code for all Olympic related temporary imports. It does not attract Customs COMPILE processing charges. However, the Tradegate and AQIS charges still remain applicable for COMPILE/EDIFICE lodgements. (</w:t>
      </w:r>
      <w:r>
        <w:rPr>
          <w:b/>
        </w:rPr>
        <w:t>Note: </w:t>
      </w:r>
      <w:r>
        <w:rPr/>
        <w:t>goods arriving without a carnet are exempt the processing charges).</w:t>
      </w:r>
    </w:p>
    <w:p>
      <w:pPr>
        <w:pStyle w:val="BodyText"/>
        <w:spacing w:before="4"/>
        <w:rPr>
          <w:sz w:val="16"/>
        </w:rPr>
      </w:pPr>
    </w:p>
    <w:p>
      <w:pPr>
        <w:pStyle w:val="BodyText"/>
        <w:ind w:left="373"/>
      </w:pPr>
      <w:r>
        <w:rPr/>
        <w:pict>
          <v:shape style="position:absolute;margin-left:37.793461pt;margin-top:4.852394pt;width:2.75pt;height:2.75pt;mso-position-horizontal-relative:page;mso-position-vertical-relative:paragraph;z-index:15734784" coordorigin="756,97" coordsize="55,55" path="m801,151l765,151,756,142,756,106,765,97,801,97,810,106,810,124,810,142,801,151xe" filled="true" fillcolor="#000000" stroked="false">
            <v:path arrowok="t"/>
            <v:fill type="solid"/>
            <w10:wrap type="none"/>
          </v:shape>
        </w:pict>
      </w:r>
      <w:r>
        <w:rPr/>
        <w:t>Owner Ref</w:t>
      </w:r>
    </w:p>
    <w:p>
      <w:pPr>
        <w:pStyle w:val="BodyText"/>
        <w:spacing w:before="3"/>
        <w:rPr>
          <w:sz w:val="16"/>
        </w:rPr>
      </w:pPr>
    </w:p>
    <w:p>
      <w:pPr>
        <w:pStyle w:val="BodyText"/>
        <w:ind w:left="108"/>
      </w:pPr>
      <w:r>
        <w:rPr/>
        <w:t>This field is free format and users should enter the International Standards Organisation country code for the origin of the goods and the importers name, eg. UK BBC network.</w:t>
      </w:r>
    </w:p>
    <w:p>
      <w:pPr>
        <w:pStyle w:val="BodyText"/>
        <w:spacing w:before="4"/>
        <w:rPr>
          <w:sz w:val="16"/>
        </w:rPr>
      </w:pPr>
    </w:p>
    <w:p>
      <w:pPr>
        <w:pStyle w:val="BodyText"/>
        <w:ind w:left="373"/>
      </w:pPr>
      <w:r>
        <w:rPr/>
        <w:pict>
          <v:shape style="position:absolute;margin-left:37.793461pt;margin-top:4.852387pt;width:2.75pt;height:2.75pt;mso-position-horizontal-relative:page;mso-position-vertical-relative:paragraph;z-index:15735296" coordorigin="756,97" coordsize="55,55" path="m801,151l765,151,756,142,756,106,765,97,801,97,810,106,810,124,810,142,801,151xe" filled="true" fillcolor="#000000" stroked="false">
            <v:path arrowok="t"/>
            <v:fill type="solid"/>
            <w10:wrap type="none"/>
          </v:shape>
        </w:pict>
      </w:r>
      <w:r>
        <w:rPr/>
        <w:t>Supplier Code</w:t>
      </w:r>
    </w:p>
    <w:p>
      <w:pPr>
        <w:pStyle w:val="BodyText"/>
        <w:spacing w:before="3"/>
        <w:rPr>
          <w:sz w:val="16"/>
        </w:rPr>
      </w:pPr>
    </w:p>
    <w:p>
      <w:pPr>
        <w:pStyle w:val="BodyText"/>
        <w:spacing w:line="446" w:lineRule="auto"/>
        <w:ind w:left="108" w:right="8244"/>
        <w:rPr>
          <w:b/>
        </w:rPr>
      </w:pPr>
      <w:r>
        <w:rPr/>
        <w:t>2873284Q - this is a generic code used for all Olympic related temporary imports. </w:t>
      </w:r>
      <w:r>
        <w:rPr>
          <w:b/>
        </w:rPr>
        <w:t>Manual lodgement</w:t>
      </w:r>
    </w:p>
    <w:p>
      <w:pPr>
        <w:pStyle w:val="BodyText"/>
        <w:spacing w:line="217" w:lineRule="exact"/>
        <w:ind w:left="108"/>
      </w:pPr>
      <w:r>
        <w:rPr/>
        <w:t>Applications for temporary admission on Form 46A will be accepted when lodged by eligible importers direct with Customs and supported by the necessary documentation.</w:t>
      </w:r>
    </w:p>
    <w:p>
      <w:pPr>
        <w:pStyle w:val="BodyText"/>
        <w:spacing w:before="5"/>
        <w:rPr>
          <w:sz w:val="16"/>
        </w:rPr>
      </w:pPr>
    </w:p>
    <w:p>
      <w:pPr>
        <w:pStyle w:val="BodyText"/>
        <w:spacing w:line="237" w:lineRule="auto"/>
        <w:ind w:left="108" w:right="240"/>
      </w:pPr>
      <w:r>
        <w:rPr/>
        <w:t>Goods valued at less than the value threshold (A$250) or for personal temporary importations may be admitted on Form 46A without the need to provide information through COMPILE, if the officer is satisfied the goods are intended for re-export and are related to the Olympics and associated events.</w:t>
      </w:r>
    </w:p>
    <w:p>
      <w:pPr>
        <w:pStyle w:val="BodyText"/>
        <w:spacing w:before="1"/>
        <w:rPr>
          <w:sz w:val="24"/>
        </w:rPr>
      </w:pPr>
    </w:p>
    <w:p>
      <w:pPr>
        <w:pStyle w:val="Heading1"/>
        <w:numPr>
          <w:ilvl w:val="0"/>
          <w:numId w:val="1"/>
        </w:numPr>
        <w:tabs>
          <w:tab w:pos="379" w:val="left" w:leader="none"/>
        </w:tabs>
        <w:spacing w:line="240" w:lineRule="auto" w:before="0" w:after="0"/>
        <w:ind w:left="378" w:right="0" w:hanging="271"/>
        <w:jc w:val="left"/>
      </w:pPr>
      <w:r>
        <w:rPr>
          <w:color w:val="202020"/>
        </w:rPr>
        <w:t>SECTION 162A/REGULATION 125 (ELIGIBLE GOODS, INCLUDING </w:t>
      </w:r>
      <w:r>
        <w:rPr>
          <w:color w:val="202020"/>
          <w:spacing w:val="-4"/>
        </w:rPr>
        <w:t>OLYMPIC </w:t>
      </w:r>
      <w:r>
        <w:rPr>
          <w:color w:val="202020"/>
        </w:rPr>
        <w:t>GOODS, ARRIVING WITHOUT</w:t>
      </w:r>
      <w:r>
        <w:rPr>
          <w:color w:val="202020"/>
          <w:spacing w:val="44"/>
        </w:rPr>
        <w:t> </w:t>
      </w:r>
      <w:r>
        <w:rPr>
          <w:color w:val="202020"/>
        </w:rPr>
        <w:t>CARNET)</w:t>
      </w:r>
    </w:p>
    <w:p>
      <w:pPr>
        <w:pStyle w:val="BodyText"/>
        <w:rPr>
          <w:b/>
          <w:sz w:val="26"/>
        </w:rPr>
      </w:pPr>
    </w:p>
    <w:p>
      <w:pPr>
        <w:pStyle w:val="BodyText"/>
        <w:spacing w:line="237" w:lineRule="auto" w:before="150"/>
        <w:ind w:left="108" w:right="178"/>
      </w:pPr>
      <w:r>
        <w:rPr/>
        <w:t>This provision is used to admit goods eligible, including Olympic goods, for </w:t>
      </w:r>
      <w:r>
        <w:rPr>
          <w:spacing w:val="-10"/>
        </w:rPr>
        <w:t>ATA </w:t>
      </w:r>
      <w:r>
        <w:rPr/>
        <w:t>(Admission Temporaire/</w:t>
      </w:r>
      <w:r>
        <w:rPr>
          <w:spacing w:val="-3"/>
        </w:rPr>
        <w:t> Temporary </w:t>
      </w:r>
      <w:r>
        <w:rPr/>
        <w:t>Admission) Carnet or Carnet de Passages en Douane which arrive in Australia without a carnet.</w:t>
      </w:r>
    </w:p>
    <w:p>
      <w:pPr>
        <w:pStyle w:val="BodyText"/>
        <w:spacing w:before="5"/>
        <w:rPr>
          <w:sz w:val="16"/>
        </w:rPr>
      </w:pPr>
    </w:p>
    <w:p>
      <w:pPr>
        <w:pStyle w:val="BodyText"/>
        <w:spacing w:line="237" w:lineRule="auto" w:before="1"/>
        <w:ind w:left="108" w:right="554"/>
      </w:pPr>
      <w:r>
        <w:rPr/>
        <w:t>Importers must now apply for permission to take delivery of eligible goods arriving without carnet on "Application for Permission to Take Delivery of Goods Upon Giving a Security or Undertaking for the Payment of Duty" Form 46AA (applicable to eligible non-Olympic goods).</w:t>
      </w:r>
    </w:p>
    <w:p>
      <w:pPr>
        <w:pStyle w:val="BodyText"/>
        <w:spacing w:before="3"/>
        <w:rPr>
          <w:sz w:val="16"/>
        </w:rPr>
      </w:pPr>
    </w:p>
    <w:p>
      <w:pPr>
        <w:pStyle w:val="BodyText"/>
        <w:spacing w:line="446" w:lineRule="auto" w:before="1"/>
        <w:ind w:left="108" w:right="751"/>
        <w:rPr>
          <w:b/>
        </w:rPr>
      </w:pPr>
      <w:r>
        <w:rPr/>
        <w:t>This will mainly affect goods eligible for temporary admission under the "Exhibitions, Fairs, Meetings or Similar Events" Convention, which were previously delivered without entry. </w:t>
      </w:r>
      <w:r>
        <w:rPr>
          <w:b/>
        </w:rPr>
        <w:t>Electronic/documentary lodgement</w:t>
      </w:r>
    </w:p>
    <w:p>
      <w:pPr>
        <w:pStyle w:val="BodyText"/>
        <w:spacing w:line="217" w:lineRule="exact"/>
        <w:ind w:left="373"/>
      </w:pPr>
      <w:r>
        <w:rPr/>
        <w:pict>
          <v:rect style="position:absolute;margin-left:45.9105pt;margin-top:10.887805pt;width:2.70568pt;height:30.438899pt;mso-position-horizontal-relative:page;mso-position-vertical-relative:paragraph;z-index:15732736" filled="true" fillcolor="#003366" stroked="false">
            <v:fill type="solid"/>
            <w10:wrap type="none"/>
          </v:rect>
        </w:pict>
      </w:r>
      <w:r>
        <w:rPr/>
        <w:pict>
          <v:shape style="position:absolute;margin-left:37.793461pt;margin-top:4.800025pt;width:2.75pt;height:2.75pt;mso-position-horizontal-relative:page;mso-position-vertical-relative:paragraph;z-index:15735808" coordorigin="756,96" coordsize="55,55" path="m801,150l765,150,756,141,756,105,765,96,801,96,810,105,810,123,810,141,801,150xe" filled="true" fillcolor="#000000" stroked="false">
            <v:path arrowok="t"/>
            <v:fill type="solid"/>
            <w10:wrap type="none"/>
          </v:shape>
        </w:pict>
      </w:r>
      <w:r>
        <w:rPr/>
        <w:t>Determine the goods are eligible for temporary duty free admission under the relevant provisions of the convention(s) listed below:</w:t>
      </w:r>
    </w:p>
    <w:p>
      <w:pPr>
        <w:pStyle w:val="ListParagraph"/>
        <w:numPr>
          <w:ilvl w:val="0"/>
          <w:numId w:val="2"/>
        </w:numPr>
        <w:tabs>
          <w:tab w:pos="708" w:val="left" w:leader="none"/>
        </w:tabs>
        <w:spacing w:line="240" w:lineRule="auto" w:before="177" w:after="0"/>
        <w:ind w:left="707" w:right="0" w:hanging="141"/>
        <w:jc w:val="left"/>
        <w:rPr>
          <w:i/>
          <w:sz w:val="22"/>
        </w:rPr>
      </w:pPr>
      <w:r>
        <w:rPr>
          <w:i/>
          <w:color w:val="585858"/>
          <w:w w:val="105"/>
          <w:sz w:val="22"/>
        </w:rPr>
        <w:t>ATA Carnet Convention on Temporary</w:t>
      </w:r>
      <w:r>
        <w:rPr>
          <w:i/>
          <w:color w:val="585858"/>
          <w:spacing w:val="-11"/>
          <w:w w:val="105"/>
          <w:sz w:val="22"/>
        </w:rPr>
        <w:t> </w:t>
      </w:r>
      <w:r>
        <w:rPr>
          <w:i/>
          <w:color w:val="585858"/>
          <w:w w:val="105"/>
          <w:sz w:val="22"/>
        </w:rPr>
        <w:t>Admission</w:t>
      </w:r>
    </w:p>
    <w:p>
      <w:pPr>
        <w:pStyle w:val="BodyText"/>
        <w:rPr>
          <w:rFonts w:ascii="Georgia"/>
          <w:i/>
          <w:sz w:val="26"/>
        </w:rPr>
      </w:pPr>
    </w:p>
    <w:p>
      <w:pPr>
        <w:pStyle w:val="BodyText"/>
        <w:spacing w:before="9"/>
        <w:rPr>
          <w:rFonts w:ascii="Georgia"/>
          <w:i/>
          <w:sz w:val="25"/>
        </w:rPr>
      </w:pPr>
    </w:p>
    <w:p>
      <w:pPr>
        <w:pStyle w:val="ListParagraph"/>
        <w:numPr>
          <w:ilvl w:val="0"/>
          <w:numId w:val="2"/>
        </w:numPr>
        <w:tabs>
          <w:tab w:pos="708" w:val="left" w:leader="none"/>
        </w:tabs>
        <w:spacing w:line="240" w:lineRule="auto" w:before="0" w:after="0"/>
        <w:ind w:left="707" w:right="0" w:hanging="141"/>
        <w:jc w:val="left"/>
        <w:rPr>
          <w:i/>
          <w:sz w:val="22"/>
        </w:rPr>
      </w:pPr>
      <w:r>
        <w:rPr/>
        <w:pict>
          <v:rect style="position:absolute;margin-left:45.9105pt;margin-top:-8.852846pt;width:2.70568pt;height:54.790018pt;mso-position-horizontal-relative:page;mso-position-vertical-relative:paragraph;z-index:15733248" filled="true" fillcolor="#003366" stroked="false">
            <v:fill type="solid"/>
            <w10:wrap type="none"/>
          </v:rect>
        </w:pict>
      </w:r>
      <w:r>
        <w:rPr>
          <w:i/>
          <w:color w:val="585858"/>
          <w:w w:val="105"/>
          <w:sz w:val="22"/>
        </w:rPr>
        <w:t>Istanbul</w:t>
      </w:r>
      <w:r>
        <w:rPr>
          <w:i/>
          <w:color w:val="585858"/>
          <w:spacing w:val="-2"/>
          <w:w w:val="105"/>
          <w:sz w:val="22"/>
        </w:rPr>
        <w:t> </w:t>
      </w:r>
      <w:r>
        <w:rPr>
          <w:i/>
          <w:color w:val="585858"/>
          <w:w w:val="105"/>
          <w:sz w:val="22"/>
        </w:rPr>
        <w:t>Convention</w:t>
      </w:r>
    </w:p>
    <w:p>
      <w:pPr>
        <w:pStyle w:val="BodyText"/>
        <w:spacing w:before="10"/>
        <w:rPr>
          <w:rFonts w:ascii="Georgia"/>
          <w:i/>
          <w:sz w:val="20"/>
        </w:rPr>
      </w:pPr>
    </w:p>
    <w:p>
      <w:pPr>
        <w:pStyle w:val="ListParagraph"/>
        <w:numPr>
          <w:ilvl w:val="0"/>
          <w:numId w:val="2"/>
        </w:numPr>
        <w:tabs>
          <w:tab w:pos="708" w:val="left" w:leader="none"/>
        </w:tabs>
        <w:spacing w:line="240" w:lineRule="auto" w:before="0" w:after="0"/>
        <w:ind w:left="707" w:right="0" w:hanging="141"/>
        <w:jc w:val="left"/>
        <w:rPr>
          <w:i/>
          <w:sz w:val="22"/>
        </w:rPr>
      </w:pPr>
      <w:r>
        <w:rPr>
          <w:i/>
          <w:color w:val="585858"/>
          <w:w w:val="105"/>
          <w:sz w:val="22"/>
        </w:rPr>
        <w:t>Convention Concerning Welfare Material for</w:t>
      </w:r>
      <w:r>
        <w:rPr>
          <w:i/>
          <w:color w:val="585858"/>
          <w:spacing w:val="-11"/>
          <w:w w:val="105"/>
          <w:sz w:val="22"/>
        </w:rPr>
        <w:t> </w:t>
      </w:r>
      <w:r>
        <w:rPr>
          <w:i/>
          <w:color w:val="585858"/>
          <w:w w:val="105"/>
          <w:sz w:val="22"/>
        </w:rPr>
        <w:t>Seafarers</w:t>
      </w:r>
    </w:p>
    <w:p>
      <w:pPr>
        <w:pStyle w:val="BodyText"/>
        <w:rPr>
          <w:rFonts w:ascii="Georgia"/>
          <w:i/>
          <w:sz w:val="26"/>
        </w:rPr>
      </w:pPr>
    </w:p>
    <w:p>
      <w:pPr>
        <w:pStyle w:val="BodyText"/>
        <w:spacing w:before="9"/>
        <w:rPr>
          <w:rFonts w:ascii="Georgia"/>
          <w:i/>
          <w:sz w:val="25"/>
        </w:rPr>
      </w:pPr>
    </w:p>
    <w:p>
      <w:pPr>
        <w:pStyle w:val="ListParagraph"/>
        <w:numPr>
          <w:ilvl w:val="0"/>
          <w:numId w:val="2"/>
        </w:numPr>
        <w:tabs>
          <w:tab w:pos="708" w:val="left" w:leader="none"/>
        </w:tabs>
        <w:spacing w:line="240" w:lineRule="auto" w:before="0" w:after="0"/>
        <w:ind w:left="707" w:right="0" w:hanging="141"/>
        <w:jc w:val="left"/>
        <w:rPr>
          <w:i/>
          <w:sz w:val="22"/>
        </w:rPr>
      </w:pPr>
      <w:r>
        <w:rPr/>
        <w:pict>
          <v:rect style="position:absolute;margin-left:45.9105pt;margin-top:-8.852842pt;width:2.70568pt;height:31.115319pt;mso-position-horizontal-relative:page;mso-position-vertical-relative:paragraph;z-index:15733760" filled="true" fillcolor="#003366" stroked="false">
            <v:fill type="solid"/>
            <w10:wrap type="none"/>
          </v:rect>
        </w:pict>
      </w:r>
      <w:r>
        <w:rPr>
          <w:i/>
          <w:color w:val="585858"/>
          <w:w w:val="105"/>
          <w:sz w:val="22"/>
        </w:rPr>
        <w:t>Convention Concerning Customs Facilities for Touring (includes Private Motor</w:t>
      </w:r>
      <w:r>
        <w:rPr>
          <w:i/>
          <w:color w:val="585858"/>
          <w:spacing w:val="-26"/>
          <w:w w:val="105"/>
          <w:sz w:val="22"/>
        </w:rPr>
        <w:t> </w:t>
      </w:r>
      <w:r>
        <w:rPr>
          <w:i/>
          <w:color w:val="585858"/>
          <w:w w:val="105"/>
          <w:sz w:val="22"/>
        </w:rPr>
        <w:t>Vehicles)</w:t>
      </w:r>
    </w:p>
    <w:p>
      <w:pPr>
        <w:pStyle w:val="BodyText"/>
        <w:rPr>
          <w:rFonts w:ascii="Georgia"/>
          <w:i/>
          <w:sz w:val="26"/>
        </w:rPr>
      </w:pPr>
    </w:p>
    <w:p>
      <w:pPr>
        <w:pStyle w:val="BodyText"/>
        <w:spacing w:before="10"/>
        <w:rPr>
          <w:rFonts w:ascii="Georgia"/>
          <w:i/>
          <w:sz w:val="25"/>
        </w:rPr>
      </w:pPr>
    </w:p>
    <w:p>
      <w:pPr>
        <w:pStyle w:val="ListParagraph"/>
        <w:numPr>
          <w:ilvl w:val="0"/>
          <w:numId w:val="2"/>
        </w:numPr>
        <w:tabs>
          <w:tab w:pos="708" w:val="left" w:leader="none"/>
        </w:tabs>
        <w:spacing w:line="240" w:lineRule="auto" w:before="0" w:after="0"/>
        <w:ind w:left="707" w:right="0" w:hanging="141"/>
        <w:jc w:val="left"/>
        <w:rPr>
          <w:i/>
          <w:sz w:val="22"/>
        </w:rPr>
      </w:pPr>
      <w:r>
        <w:rPr/>
        <w:pict>
          <v:rect style="position:absolute;margin-left:45.9105pt;margin-top:-8.852827pt;width:2.70568pt;height:49.624738pt;mso-position-horizontal-relative:page;mso-position-vertical-relative:paragraph;z-index:15734272" filled="true" fillcolor="#003366" stroked="false">
            <v:fill type="solid"/>
            <w10:wrap type="none"/>
          </v:rect>
        </w:pict>
      </w:r>
      <w:r>
        <w:rPr>
          <w:i/>
          <w:color w:val="585858"/>
          <w:w w:val="105"/>
          <w:sz w:val="22"/>
        </w:rPr>
        <w:t>International Convention to Facilitate the Importation of Commercial Samples and Advertising</w:t>
      </w:r>
      <w:r>
        <w:rPr>
          <w:i/>
          <w:color w:val="585858"/>
          <w:spacing w:val="-39"/>
          <w:w w:val="105"/>
          <w:sz w:val="22"/>
        </w:rPr>
        <w:t> </w:t>
      </w:r>
      <w:r>
        <w:rPr>
          <w:i/>
          <w:color w:val="585858"/>
          <w:w w:val="105"/>
          <w:sz w:val="22"/>
        </w:rPr>
        <w:t>Materials</w:t>
      </w:r>
    </w:p>
    <w:p>
      <w:pPr>
        <w:pStyle w:val="BodyText"/>
        <w:spacing w:before="9"/>
        <w:rPr>
          <w:rFonts w:ascii="Georgia"/>
          <w:i/>
          <w:sz w:val="20"/>
        </w:rPr>
      </w:pPr>
    </w:p>
    <w:p>
      <w:pPr>
        <w:pStyle w:val="ListParagraph"/>
        <w:numPr>
          <w:ilvl w:val="0"/>
          <w:numId w:val="2"/>
        </w:numPr>
        <w:tabs>
          <w:tab w:pos="708" w:val="left" w:leader="none"/>
        </w:tabs>
        <w:spacing w:line="240" w:lineRule="auto" w:before="0" w:after="0"/>
        <w:ind w:left="707" w:right="0" w:hanging="141"/>
        <w:jc w:val="left"/>
        <w:rPr>
          <w:i/>
          <w:sz w:val="22"/>
        </w:rPr>
      </w:pPr>
      <w:r>
        <w:rPr>
          <w:i/>
          <w:color w:val="585858"/>
          <w:w w:val="105"/>
          <w:sz w:val="22"/>
        </w:rPr>
        <w:t>Customs Convention on the Temporary Importation of Professional</w:t>
      </w:r>
      <w:r>
        <w:rPr>
          <w:i/>
          <w:color w:val="585858"/>
          <w:spacing w:val="-21"/>
          <w:w w:val="105"/>
          <w:sz w:val="22"/>
        </w:rPr>
        <w:t> </w:t>
      </w:r>
      <w:r>
        <w:rPr>
          <w:i/>
          <w:color w:val="585858"/>
          <w:w w:val="105"/>
          <w:sz w:val="22"/>
        </w:rPr>
        <w:t>Equipment</w:t>
      </w:r>
    </w:p>
    <w:p>
      <w:pPr>
        <w:spacing w:after="0" w:line="240" w:lineRule="auto"/>
        <w:jc w:val="left"/>
        <w:rPr>
          <w:sz w:val="22"/>
        </w:rPr>
        <w:sectPr>
          <w:pgSz w:w="16840" w:h="11900" w:orient="landscape"/>
          <w:pgMar w:top="500" w:bottom="280" w:left="580" w:right="440"/>
        </w:sectPr>
      </w:pPr>
    </w:p>
    <w:p>
      <w:pPr>
        <w:pStyle w:val="ListParagraph"/>
        <w:numPr>
          <w:ilvl w:val="0"/>
          <w:numId w:val="2"/>
        </w:numPr>
        <w:tabs>
          <w:tab w:pos="708" w:val="left" w:leader="none"/>
        </w:tabs>
        <w:spacing w:line="240" w:lineRule="auto" w:before="81" w:after="0"/>
        <w:ind w:left="707" w:right="0" w:hanging="141"/>
        <w:jc w:val="left"/>
        <w:rPr>
          <w:i/>
          <w:sz w:val="22"/>
        </w:rPr>
      </w:pPr>
      <w:r>
        <w:rPr/>
        <w:pict>
          <v:rect style="position:absolute;margin-left:45.9105pt;margin-top:3.990607pt;width:2.70568pt;height:94.6988pt;mso-position-horizontal-relative:page;mso-position-vertical-relative:paragraph;z-index:15736320" filled="true" fillcolor="#003366" stroked="false">
            <v:fill type="solid"/>
            <w10:wrap type="none"/>
          </v:rect>
        </w:pict>
      </w:r>
      <w:r>
        <w:rPr>
          <w:i/>
          <w:color w:val="585858"/>
          <w:w w:val="105"/>
          <w:sz w:val="22"/>
        </w:rPr>
        <w:t>Customs Convention on the Temporary Importation of Scientific</w:t>
      </w:r>
      <w:r>
        <w:rPr>
          <w:i/>
          <w:color w:val="585858"/>
          <w:spacing w:val="-21"/>
          <w:w w:val="105"/>
          <w:sz w:val="22"/>
        </w:rPr>
        <w:t> </w:t>
      </w:r>
      <w:r>
        <w:rPr>
          <w:i/>
          <w:color w:val="585858"/>
          <w:w w:val="105"/>
          <w:sz w:val="22"/>
        </w:rPr>
        <w:t>Equipment</w:t>
      </w:r>
    </w:p>
    <w:p>
      <w:pPr>
        <w:pStyle w:val="BodyText"/>
        <w:spacing w:before="10"/>
        <w:rPr>
          <w:rFonts w:ascii="Georgia"/>
          <w:i/>
          <w:sz w:val="20"/>
        </w:rPr>
      </w:pPr>
    </w:p>
    <w:p>
      <w:pPr>
        <w:pStyle w:val="ListParagraph"/>
        <w:numPr>
          <w:ilvl w:val="0"/>
          <w:numId w:val="2"/>
        </w:numPr>
        <w:tabs>
          <w:tab w:pos="708" w:val="left" w:leader="none"/>
        </w:tabs>
        <w:spacing w:line="240" w:lineRule="auto" w:before="0" w:after="0"/>
        <w:ind w:left="707" w:right="0" w:hanging="141"/>
        <w:jc w:val="left"/>
        <w:rPr>
          <w:i/>
          <w:sz w:val="22"/>
        </w:rPr>
      </w:pPr>
      <w:r>
        <w:rPr>
          <w:i/>
          <w:color w:val="585858"/>
          <w:w w:val="105"/>
          <w:sz w:val="22"/>
        </w:rPr>
        <w:t>Customs Convention on the Temporary Importation of Pedagogic</w:t>
      </w:r>
      <w:r>
        <w:rPr>
          <w:i/>
          <w:color w:val="585858"/>
          <w:spacing w:val="-20"/>
          <w:w w:val="105"/>
          <w:sz w:val="22"/>
        </w:rPr>
        <w:t> </w:t>
      </w:r>
      <w:r>
        <w:rPr>
          <w:i/>
          <w:color w:val="585858"/>
          <w:w w:val="105"/>
          <w:sz w:val="22"/>
        </w:rPr>
        <w:t>Material</w:t>
      </w:r>
    </w:p>
    <w:p>
      <w:pPr>
        <w:pStyle w:val="BodyText"/>
        <w:spacing w:before="9"/>
        <w:rPr>
          <w:rFonts w:ascii="Georgia"/>
          <w:i/>
          <w:sz w:val="20"/>
        </w:rPr>
      </w:pPr>
    </w:p>
    <w:p>
      <w:pPr>
        <w:pStyle w:val="ListParagraph"/>
        <w:numPr>
          <w:ilvl w:val="0"/>
          <w:numId w:val="2"/>
        </w:numPr>
        <w:tabs>
          <w:tab w:pos="708" w:val="left" w:leader="none"/>
        </w:tabs>
        <w:spacing w:line="240" w:lineRule="auto" w:before="0" w:after="0"/>
        <w:ind w:left="707" w:right="0" w:hanging="141"/>
        <w:jc w:val="left"/>
        <w:rPr>
          <w:i/>
          <w:sz w:val="22"/>
        </w:rPr>
      </w:pPr>
      <w:r>
        <w:rPr>
          <w:i/>
          <w:color w:val="585858"/>
          <w:w w:val="105"/>
          <w:sz w:val="22"/>
        </w:rPr>
        <w:t>Customs Convention on</w:t>
      </w:r>
      <w:r>
        <w:rPr>
          <w:i/>
          <w:color w:val="585858"/>
          <w:spacing w:val="-6"/>
          <w:w w:val="105"/>
          <w:sz w:val="22"/>
        </w:rPr>
        <w:t> </w:t>
      </w:r>
      <w:r>
        <w:rPr>
          <w:i/>
          <w:color w:val="585858"/>
          <w:w w:val="105"/>
          <w:sz w:val="22"/>
        </w:rPr>
        <w:t>Containers</w:t>
      </w:r>
    </w:p>
    <w:p>
      <w:pPr>
        <w:pStyle w:val="ListParagraph"/>
        <w:numPr>
          <w:ilvl w:val="0"/>
          <w:numId w:val="2"/>
        </w:numPr>
        <w:tabs>
          <w:tab w:pos="708" w:val="left" w:leader="none"/>
        </w:tabs>
        <w:spacing w:line="240" w:lineRule="auto" w:before="224" w:after="0"/>
        <w:ind w:left="707" w:right="0" w:hanging="141"/>
        <w:jc w:val="left"/>
        <w:rPr>
          <w:i/>
          <w:sz w:val="22"/>
        </w:rPr>
      </w:pPr>
      <w:r>
        <w:rPr>
          <w:i/>
          <w:color w:val="585858"/>
          <w:w w:val="105"/>
          <w:sz w:val="22"/>
        </w:rPr>
        <w:t>The European Convention on Customs Treatment of Pallets used in International</w:t>
      </w:r>
      <w:r>
        <w:rPr>
          <w:i/>
          <w:color w:val="585858"/>
          <w:spacing w:val="-32"/>
          <w:w w:val="105"/>
          <w:sz w:val="22"/>
        </w:rPr>
        <w:t> </w:t>
      </w:r>
      <w:r>
        <w:rPr>
          <w:i/>
          <w:color w:val="585858"/>
          <w:w w:val="105"/>
          <w:sz w:val="22"/>
        </w:rPr>
        <w:t>Transport</w:t>
      </w:r>
    </w:p>
    <w:p>
      <w:pPr>
        <w:pStyle w:val="BodyText"/>
        <w:rPr>
          <w:rFonts w:ascii="Georgia"/>
          <w:i/>
          <w:sz w:val="26"/>
        </w:rPr>
      </w:pPr>
    </w:p>
    <w:p>
      <w:pPr>
        <w:pStyle w:val="BodyText"/>
        <w:rPr>
          <w:rFonts w:ascii="Georgia"/>
          <w:i/>
          <w:sz w:val="27"/>
        </w:rPr>
      </w:pPr>
    </w:p>
    <w:p>
      <w:pPr>
        <w:pStyle w:val="ListParagraph"/>
        <w:numPr>
          <w:ilvl w:val="0"/>
          <w:numId w:val="2"/>
        </w:numPr>
        <w:tabs>
          <w:tab w:pos="708" w:val="left" w:leader="none"/>
        </w:tabs>
        <w:spacing w:line="240" w:lineRule="auto" w:before="0" w:after="0"/>
        <w:ind w:left="707" w:right="0" w:hanging="141"/>
        <w:jc w:val="left"/>
        <w:rPr>
          <w:i/>
          <w:sz w:val="22"/>
        </w:rPr>
      </w:pPr>
      <w:r>
        <w:rPr/>
        <w:pict>
          <v:rect style="position:absolute;margin-left:45.9105pt;margin-top:-9.529268pt;width:2.70568pt;height:31.115319pt;mso-position-horizontal-relative:page;mso-position-vertical-relative:paragraph;z-index:15736832" filled="true" fillcolor="#003366" stroked="false">
            <v:fill type="solid"/>
            <w10:wrap type="none"/>
          </v:rect>
        </w:pict>
      </w:r>
      <w:r>
        <w:rPr>
          <w:i/>
          <w:color w:val="585858"/>
          <w:w w:val="105"/>
          <w:sz w:val="22"/>
        </w:rPr>
        <w:t>Customs</w:t>
      </w:r>
      <w:r>
        <w:rPr>
          <w:i/>
          <w:color w:val="585858"/>
          <w:spacing w:val="-8"/>
          <w:w w:val="105"/>
          <w:sz w:val="22"/>
        </w:rPr>
        <w:t> </w:t>
      </w:r>
      <w:r>
        <w:rPr>
          <w:i/>
          <w:color w:val="585858"/>
          <w:w w:val="105"/>
          <w:sz w:val="22"/>
        </w:rPr>
        <w:t>Convention</w:t>
      </w:r>
      <w:r>
        <w:rPr>
          <w:i/>
          <w:color w:val="585858"/>
          <w:spacing w:val="-8"/>
          <w:w w:val="105"/>
          <w:sz w:val="22"/>
        </w:rPr>
        <w:t> </w:t>
      </w:r>
      <w:r>
        <w:rPr>
          <w:i/>
          <w:color w:val="585858"/>
          <w:w w:val="105"/>
          <w:sz w:val="22"/>
        </w:rPr>
        <w:t>Concerning</w:t>
      </w:r>
      <w:r>
        <w:rPr>
          <w:i/>
          <w:color w:val="585858"/>
          <w:spacing w:val="-8"/>
          <w:w w:val="105"/>
          <w:sz w:val="22"/>
        </w:rPr>
        <w:t> </w:t>
      </w:r>
      <w:r>
        <w:rPr>
          <w:i/>
          <w:color w:val="585858"/>
          <w:w w:val="105"/>
          <w:sz w:val="22"/>
        </w:rPr>
        <w:t>Facilities</w:t>
      </w:r>
      <w:r>
        <w:rPr>
          <w:i/>
          <w:color w:val="585858"/>
          <w:spacing w:val="-8"/>
          <w:w w:val="105"/>
          <w:sz w:val="22"/>
        </w:rPr>
        <w:t> </w:t>
      </w:r>
      <w:r>
        <w:rPr>
          <w:i/>
          <w:color w:val="585858"/>
          <w:w w:val="105"/>
          <w:sz w:val="22"/>
        </w:rPr>
        <w:t>for</w:t>
      </w:r>
      <w:r>
        <w:rPr>
          <w:i/>
          <w:color w:val="585858"/>
          <w:spacing w:val="-8"/>
          <w:w w:val="105"/>
          <w:sz w:val="22"/>
        </w:rPr>
        <w:t> </w:t>
      </w:r>
      <w:r>
        <w:rPr>
          <w:i/>
          <w:color w:val="585858"/>
          <w:w w:val="105"/>
          <w:sz w:val="22"/>
        </w:rPr>
        <w:t>the</w:t>
      </w:r>
      <w:r>
        <w:rPr>
          <w:i/>
          <w:color w:val="585858"/>
          <w:spacing w:val="-8"/>
          <w:w w:val="105"/>
          <w:sz w:val="22"/>
        </w:rPr>
        <w:t> </w:t>
      </w:r>
      <w:r>
        <w:rPr>
          <w:i/>
          <w:color w:val="585858"/>
          <w:w w:val="105"/>
          <w:sz w:val="22"/>
        </w:rPr>
        <w:t>Importation</w:t>
      </w:r>
      <w:r>
        <w:rPr>
          <w:i/>
          <w:color w:val="585858"/>
          <w:spacing w:val="-8"/>
          <w:w w:val="105"/>
          <w:sz w:val="22"/>
        </w:rPr>
        <w:t> </w:t>
      </w:r>
      <w:r>
        <w:rPr>
          <w:i/>
          <w:color w:val="585858"/>
          <w:w w:val="105"/>
          <w:sz w:val="22"/>
        </w:rPr>
        <w:t>of</w:t>
      </w:r>
      <w:r>
        <w:rPr>
          <w:i/>
          <w:color w:val="585858"/>
          <w:spacing w:val="-8"/>
          <w:w w:val="105"/>
          <w:sz w:val="22"/>
        </w:rPr>
        <w:t> </w:t>
      </w:r>
      <w:r>
        <w:rPr>
          <w:i/>
          <w:color w:val="585858"/>
          <w:w w:val="105"/>
          <w:sz w:val="22"/>
        </w:rPr>
        <w:t>Goods</w:t>
      </w:r>
      <w:r>
        <w:rPr>
          <w:i/>
          <w:color w:val="585858"/>
          <w:spacing w:val="-8"/>
          <w:w w:val="105"/>
          <w:sz w:val="22"/>
        </w:rPr>
        <w:t> </w:t>
      </w:r>
      <w:r>
        <w:rPr>
          <w:i/>
          <w:color w:val="585858"/>
          <w:w w:val="105"/>
          <w:sz w:val="22"/>
        </w:rPr>
        <w:t>for</w:t>
      </w:r>
      <w:r>
        <w:rPr>
          <w:i/>
          <w:color w:val="585858"/>
          <w:spacing w:val="-8"/>
          <w:w w:val="105"/>
          <w:sz w:val="22"/>
        </w:rPr>
        <w:t> </w:t>
      </w:r>
      <w:r>
        <w:rPr>
          <w:i/>
          <w:color w:val="585858"/>
          <w:w w:val="105"/>
          <w:sz w:val="22"/>
        </w:rPr>
        <w:t>Display</w:t>
      </w:r>
      <w:r>
        <w:rPr>
          <w:i/>
          <w:color w:val="585858"/>
          <w:spacing w:val="-8"/>
          <w:w w:val="105"/>
          <w:sz w:val="22"/>
        </w:rPr>
        <w:t> </w:t>
      </w:r>
      <w:r>
        <w:rPr>
          <w:i/>
          <w:color w:val="585858"/>
          <w:w w:val="105"/>
          <w:sz w:val="22"/>
        </w:rPr>
        <w:t>or</w:t>
      </w:r>
      <w:r>
        <w:rPr>
          <w:i/>
          <w:color w:val="585858"/>
          <w:spacing w:val="-8"/>
          <w:w w:val="105"/>
          <w:sz w:val="22"/>
        </w:rPr>
        <w:t> </w:t>
      </w:r>
      <w:r>
        <w:rPr>
          <w:i/>
          <w:color w:val="585858"/>
          <w:w w:val="105"/>
          <w:sz w:val="22"/>
        </w:rPr>
        <w:t>use</w:t>
      </w:r>
      <w:r>
        <w:rPr>
          <w:i/>
          <w:color w:val="585858"/>
          <w:spacing w:val="-8"/>
          <w:w w:val="105"/>
          <w:sz w:val="22"/>
        </w:rPr>
        <w:t> </w:t>
      </w:r>
      <w:r>
        <w:rPr>
          <w:i/>
          <w:color w:val="585858"/>
          <w:w w:val="105"/>
          <w:sz w:val="22"/>
        </w:rPr>
        <w:t>at</w:t>
      </w:r>
      <w:r>
        <w:rPr>
          <w:i/>
          <w:color w:val="585858"/>
          <w:spacing w:val="-8"/>
          <w:w w:val="105"/>
          <w:sz w:val="22"/>
        </w:rPr>
        <w:t> </w:t>
      </w:r>
      <w:r>
        <w:rPr>
          <w:i/>
          <w:color w:val="585858"/>
          <w:w w:val="105"/>
          <w:sz w:val="22"/>
        </w:rPr>
        <w:t>Exhibitions,</w:t>
      </w:r>
      <w:r>
        <w:rPr>
          <w:i/>
          <w:color w:val="585858"/>
          <w:spacing w:val="-8"/>
          <w:w w:val="105"/>
          <w:sz w:val="22"/>
        </w:rPr>
        <w:t> </w:t>
      </w:r>
      <w:r>
        <w:rPr>
          <w:i/>
          <w:color w:val="585858"/>
          <w:w w:val="105"/>
          <w:sz w:val="22"/>
        </w:rPr>
        <w:t>Fairs,</w:t>
      </w:r>
      <w:r>
        <w:rPr>
          <w:i/>
          <w:color w:val="585858"/>
          <w:spacing w:val="-8"/>
          <w:w w:val="105"/>
          <w:sz w:val="22"/>
        </w:rPr>
        <w:t> </w:t>
      </w:r>
      <w:r>
        <w:rPr>
          <w:i/>
          <w:color w:val="585858"/>
          <w:w w:val="105"/>
          <w:sz w:val="22"/>
        </w:rPr>
        <w:t>Meetings</w:t>
      </w:r>
      <w:r>
        <w:rPr>
          <w:i/>
          <w:color w:val="585858"/>
          <w:spacing w:val="-8"/>
          <w:w w:val="105"/>
          <w:sz w:val="22"/>
        </w:rPr>
        <w:t> </w:t>
      </w:r>
      <w:r>
        <w:rPr>
          <w:i/>
          <w:color w:val="585858"/>
          <w:w w:val="105"/>
          <w:sz w:val="22"/>
        </w:rPr>
        <w:t>or</w:t>
      </w:r>
      <w:r>
        <w:rPr>
          <w:i/>
          <w:color w:val="585858"/>
          <w:spacing w:val="-8"/>
          <w:w w:val="105"/>
          <w:sz w:val="22"/>
        </w:rPr>
        <w:t> </w:t>
      </w:r>
      <w:r>
        <w:rPr>
          <w:i/>
          <w:color w:val="585858"/>
          <w:w w:val="105"/>
          <w:sz w:val="22"/>
        </w:rPr>
        <w:t>Similar</w:t>
      </w:r>
      <w:r>
        <w:rPr>
          <w:i/>
          <w:color w:val="585858"/>
          <w:spacing w:val="-8"/>
          <w:w w:val="105"/>
          <w:sz w:val="22"/>
        </w:rPr>
        <w:t> </w:t>
      </w:r>
      <w:r>
        <w:rPr>
          <w:i/>
          <w:color w:val="585858"/>
          <w:w w:val="105"/>
          <w:sz w:val="22"/>
        </w:rPr>
        <w:t>Events.</w:t>
      </w:r>
    </w:p>
    <w:p>
      <w:pPr>
        <w:pStyle w:val="BodyText"/>
        <w:spacing w:before="9"/>
        <w:rPr>
          <w:rFonts w:ascii="Georgia"/>
          <w:i/>
          <w:sz w:val="27"/>
        </w:rPr>
      </w:pPr>
    </w:p>
    <w:p>
      <w:pPr>
        <w:pStyle w:val="BodyText"/>
        <w:spacing w:before="94"/>
        <w:ind w:left="373"/>
      </w:pPr>
      <w:r>
        <w:rPr/>
        <w:pict>
          <v:shape style="position:absolute;margin-left:37.793461pt;margin-top:9.552387pt;width:2.75pt;height:2.75pt;mso-position-horizontal-relative:page;mso-position-vertical-relative:paragraph;z-index:15737344" coordorigin="756,191" coordsize="55,55" path="m801,245l765,245,756,236,756,200,765,191,801,191,810,200,810,218,810,236,801,245xe" filled="true" fillcolor="#000000" stroked="false">
            <v:path arrowok="t"/>
            <v:fill type="solid"/>
            <w10:wrap type="none"/>
          </v:shape>
        </w:pict>
      </w:r>
      <w:r>
        <w:rPr/>
        <w:t>Complete and lodge Form 46AA with supporting documentation such as invoices, packing lists, waybills, etc. with the Securities/Auxiliaries area in the port of import.</w:t>
      </w:r>
    </w:p>
    <w:p>
      <w:pPr>
        <w:pStyle w:val="BodyText"/>
        <w:spacing w:before="5"/>
        <w:rPr>
          <w:sz w:val="16"/>
        </w:rPr>
      </w:pPr>
    </w:p>
    <w:p>
      <w:pPr>
        <w:pStyle w:val="BodyText"/>
        <w:spacing w:line="237" w:lineRule="auto"/>
        <w:ind w:left="373" w:right="577"/>
      </w:pPr>
      <w:r>
        <w:rPr/>
        <w:pict>
          <v:shape style="position:absolute;margin-left:37.793461pt;margin-top:4.763275pt;width:2.75pt;height:2.75pt;mso-position-horizontal-relative:page;mso-position-vertical-relative:paragraph;z-index:15737856" coordorigin="756,95" coordsize="55,55" path="m801,149l765,149,756,140,756,104,765,95,801,95,810,104,810,122,810,140,801,149xe" filled="true" fillcolor="#000000" stroked="false">
            <v:path arrowok="t"/>
            <v:fill type="solid"/>
            <w10:wrap type="none"/>
          </v:shape>
        </w:pict>
      </w:r>
      <w:r>
        <w:rPr/>
        <w:t>Securities will allocate a continuing or single permission security concession number (SCN), which can be quoted up to the registered value on all applications submitted through COMPILE.</w:t>
      </w:r>
    </w:p>
    <w:p>
      <w:pPr>
        <w:pStyle w:val="BodyText"/>
        <w:spacing w:before="5"/>
        <w:rPr>
          <w:sz w:val="16"/>
        </w:rPr>
      </w:pPr>
    </w:p>
    <w:p>
      <w:pPr>
        <w:pStyle w:val="BodyText"/>
        <w:spacing w:line="237" w:lineRule="auto" w:before="1"/>
        <w:ind w:left="373" w:right="382"/>
        <w:jc w:val="both"/>
      </w:pPr>
      <w:r>
        <w:rPr/>
        <w:pict>
          <v:shape style="position:absolute;margin-left:37.793461pt;margin-top:4.813268pt;width:2.75pt;height:2.75pt;mso-position-horizontal-relative:page;mso-position-vertical-relative:paragraph;z-index:15738368" coordorigin="756,96" coordsize="55,55" path="m801,150l765,150,756,141,756,105,765,96,801,96,810,105,810,123,810,141,801,150xe" filled="true" fillcolor="#000000" stroked="false">
            <v:path arrowok="t"/>
            <v:fill type="solid"/>
            <w10:wrap type="none"/>
          </v:shape>
        </w:pict>
      </w:r>
      <w:r>
        <w:rPr/>
        <w:t>Both</w:t>
      </w:r>
      <w:r>
        <w:rPr>
          <w:spacing w:val="-3"/>
        </w:rPr>
        <w:t> </w:t>
      </w:r>
      <w:r>
        <w:rPr/>
        <w:t>the</w:t>
      </w:r>
      <w:r>
        <w:rPr>
          <w:spacing w:val="-3"/>
        </w:rPr>
        <w:t> </w:t>
      </w:r>
      <w:r>
        <w:rPr/>
        <w:t>SCN</w:t>
      </w:r>
      <w:r>
        <w:rPr>
          <w:spacing w:val="-3"/>
        </w:rPr>
        <w:t> </w:t>
      </w:r>
      <w:r>
        <w:rPr/>
        <w:t>and</w:t>
      </w:r>
      <w:r>
        <w:rPr>
          <w:spacing w:val="-3"/>
        </w:rPr>
        <w:t> </w:t>
      </w:r>
      <w:r>
        <w:rPr/>
        <w:t>the</w:t>
      </w:r>
      <w:r>
        <w:rPr>
          <w:spacing w:val="-3"/>
        </w:rPr>
        <w:t> </w:t>
      </w:r>
      <w:r>
        <w:rPr/>
        <w:t>new</w:t>
      </w:r>
      <w:r>
        <w:rPr>
          <w:spacing w:val="-3"/>
        </w:rPr>
        <w:t> </w:t>
      </w:r>
      <w:r>
        <w:rPr/>
        <w:t>treatment</w:t>
      </w:r>
      <w:r>
        <w:rPr>
          <w:spacing w:val="-3"/>
        </w:rPr>
        <w:t> </w:t>
      </w:r>
      <w:r>
        <w:rPr/>
        <w:t>code</w:t>
      </w:r>
      <w:r>
        <w:rPr>
          <w:spacing w:val="-2"/>
        </w:rPr>
        <w:t> </w:t>
      </w:r>
      <w:r>
        <w:rPr/>
        <w:t>specific</w:t>
      </w:r>
      <w:r>
        <w:rPr>
          <w:spacing w:val="-3"/>
        </w:rPr>
        <w:t> </w:t>
      </w:r>
      <w:r>
        <w:rPr/>
        <w:t>to</w:t>
      </w:r>
      <w:r>
        <w:rPr>
          <w:spacing w:val="-3"/>
        </w:rPr>
        <w:t> </w:t>
      </w:r>
      <w:r>
        <w:rPr/>
        <w:t>goods</w:t>
      </w:r>
      <w:r>
        <w:rPr>
          <w:spacing w:val="-3"/>
        </w:rPr>
        <w:t> </w:t>
      </w:r>
      <w:r>
        <w:rPr/>
        <w:t>arriving</w:t>
      </w:r>
      <w:r>
        <w:rPr>
          <w:spacing w:val="-3"/>
        </w:rPr>
        <w:t> </w:t>
      </w:r>
      <w:r>
        <w:rPr/>
        <w:t>without</w:t>
      </w:r>
      <w:r>
        <w:rPr>
          <w:spacing w:val="-3"/>
        </w:rPr>
        <w:t> </w:t>
      </w:r>
      <w:r>
        <w:rPr/>
        <w:t>carnet</w:t>
      </w:r>
      <w:r>
        <w:rPr>
          <w:spacing w:val="-3"/>
        </w:rPr>
        <w:t> </w:t>
      </w:r>
      <w:r>
        <w:rPr/>
        <w:t>(354)</w:t>
      </w:r>
      <w:r>
        <w:rPr>
          <w:spacing w:val="-2"/>
        </w:rPr>
        <w:t> </w:t>
      </w:r>
      <w:r>
        <w:rPr/>
        <w:t>must</w:t>
      </w:r>
      <w:r>
        <w:rPr>
          <w:spacing w:val="-3"/>
        </w:rPr>
        <w:t> </w:t>
      </w:r>
      <w:r>
        <w:rPr/>
        <w:t>be</w:t>
      </w:r>
      <w:r>
        <w:rPr>
          <w:spacing w:val="-3"/>
        </w:rPr>
        <w:t> </w:t>
      </w:r>
      <w:r>
        <w:rPr/>
        <w:t>quoted</w:t>
      </w:r>
      <w:r>
        <w:rPr>
          <w:spacing w:val="-3"/>
        </w:rPr>
        <w:t> </w:t>
      </w:r>
      <w:r>
        <w:rPr/>
        <w:t>on</w:t>
      </w:r>
      <w:r>
        <w:rPr>
          <w:spacing w:val="-3"/>
        </w:rPr>
        <w:t> </w:t>
      </w:r>
      <w:r>
        <w:rPr/>
        <w:t>the</w:t>
      </w:r>
      <w:r>
        <w:rPr>
          <w:spacing w:val="-3"/>
        </w:rPr>
        <w:t> </w:t>
      </w:r>
      <w:r>
        <w:rPr/>
        <w:t>COMPILE</w:t>
      </w:r>
      <w:r>
        <w:rPr>
          <w:spacing w:val="-3"/>
        </w:rPr>
        <w:t> </w:t>
      </w:r>
      <w:r>
        <w:rPr/>
        <w:t>application.</w:t>
      </w:r>
      <w:r>
        <w:rPr>
          <w:spacing w:val="-2"/>
        </w:rPr>
        <w:t> </w:t>
      </w:r>
      <w:r>
        <w:rPr/>
        <w:t>Treatment</w:t>
      </w:r>
      <w:r>
        <w:rPr>
          <w:spacing w:val="-3"/>
        </w:rPr>
        <w:t> </w:t>
      </w:r>
      <w:r>
        <w:rPr/>
        <w:t>code</w:t>
      </w:r>
      <w:r>
        <w:rPr>
          <w:spacing w:val="-3"/>
        </w:rPr>
        <w:t> </w:t>
      </w:r>
      <w:r>
        <w:rPr/>
        <w:t>354</w:t>
      </w:r>
      <w:r>
        <w:rPr>
          <w:spacing w:val="-3"/>
        </w:rPr>
        <w:t> </w:t>
      </w:r>
      <w:r>
        <w:rPr/>
        <w:t>will</w:t>
      </w:r>
      <w:r>
        <w:rPr>
          <w:spacing w:val="-3"/>
        </w:rPr>
        <w:t> </w:t>
      </w:r>
      <w:r>
        <w:rPr/>
        <w:t>exempt</w:t>
      </w:r>
      <w:r>
        <w:rPr>
          <w:spacing w:val="-3"/>
        </w:rPr>
        <w:t> </w:t>
      </w:r>
      <w:r>
        <w:rPr/>
        <w:t>applications from</w:t>
      </w:r>
      <w:r>
        <w:rPr>
          <w:spacing w:val="-3"/>
        </w:rPr>
        <w:t> </w:t>
      </w:r>
      <w:r>
        <w:rPr/>
        <w:t>Customs</w:t>
      </w:r>
      <w:r>
        <w:rPr>
          <w:spacing w:val="-3"/>
        </w:rPr>
        <w:t> </w:t>
      </w:r>
      <w:r>
        <w:rPr/>
        <w:t>COMPILE</w:t>
      </w:r>
      <w:r>
        <w:rPr>
          <w:spacing w:val="-3"/>
        </w:rPr>
        <w:t> </w:t>
      </w:r>
      <w:r>
        <w:rPr/>
        <w:t>processing</w:t>
      </w:r>
      <w:r>
        <w:rPr>
          <w:spacing w:val="-2"/>
        </w:rPr>
        <w:t> </w:t>
      </w:r>
      <w:r>
        <w:rPr/>
        <w:t>charges.</w:t>
      </w:r>
      <w:r>
        <w:rPr>
          <w:spacing w:val="-3"/>
        </w:rPr>
        <w:t> </w:t>
      </w:r>
      <w:r>
        <w:rPr/>
        <w:t>Goods</w:t>
      </w:r>
      <w:r>
        <w:rPr>
          <w:spacing w:val="-3"/>
        </w:rPr>
        <w:t> </w:t>
      </w:r>
      <w:r>
        <w:rPr/>
        <w:t>arriving</w:t>
      </w:r>
      <w:r>
        <w:rPr>
          <w:spacing w:val="-3"/>
        </w:rPr>
        <w:t> </w:t>
      </w:r>
      <w:r>
        <w:rPr/>
        <w:t>without</w:t>
      </w:r>
      <w:r>
        <w:rPr>
          <w:spacing w:val="-2"/>
        </w:rPr>
        <w:t> </w:t>
      </w:r>
      <w:r>
        <w:rPr/>
        <w:t>a</w:t>
      </w:r>
      <w:r>
        <w:rPr>
          <w:spacing w:val="-3"/>
        </w:rPr>
        <w:t> </w:t>
      </w:r>
      <w:r>
        <w:rPr/>
        <w:t>carnet</w:t>
      </w:r>
      <w:r>
        <w:rPr>
          <w:spacing w:val="-3"/>
        </w:rPr>
        <w:t> </w:t>
      </w:r>
      <w:r>
        <w:rPr/>
        <w:t>are</w:t>
      </w:r>
      <w:r>
        <w:rPr>
          <w:spacing w:val="-2"/>
        </w:rPr>
        <w:t> </w:t>
      </w:r>
      <w:r>
        <w:rPr/>
        <w:t>also</w:t>
      </w:r>
      <w:r>
        <w:rPr>
          <w:spacing w:val="-3"/>
        </w:rPr>
        <w:t> </w:t>
      </w:r>
      <w:r>
        <w:rPr/>
        <w:t>exempt</w:t>
      </w:r>
      <w:r>
        <w:rPr>
          <w:spacing w:val="-3"/>
        </w:rPr>
        <w:t> </w:t>
      </w:r>
      <w:r>
        <w:rPr/>
        <w:t>from</w:t>
      </w:r>
      <w:r>
        <w:rPr>
          <w:spacing w:val="-3"/>
        </w:rPr>
        <w:t> </w:t>
      </w:r>
      <w:r>
        <w:rPr/>
        <w:t>processing</w:t>
      </w:r>
      <w:r>
        <w:rPr>
          <w:spacing w:val="-2"/>
        </w:rPr>
        <w:t> </w:t>
      </w:r>
      <w:r>
        <w:rPr/>
        <w:t>charges.</w:t>
      </w:r>
      <w:r>
        <w:rPr>
          <w:spacing w:val="-3"/>
        </w:rPr>
        <w:t> </w:t>
      </w:r>
      <w:r>
        <w:rPr>
          <w:b/>
        </w:rPr>
        <w:t>(Note:</w:t>
      </w:r>
      <w:r>
        <w:rPr>
          <w:b/>
          <w:spacing w:val="-3"/>
        </w:rPr>
        <w:t> </w:t>
      </w:r>
      <w:r>
        <w:rPr/>
        <w:t>COMPILE</w:t>
      </w:r>
      <w:r>
        <w:rPr>
          <w:spacing w:val="-2"/>
        </w:rPr>
        <w:t> </w:t>
      </w:r>
      <w:r>
        <w:rPr/>
        <w:t>will</w:t>
      </w:r>
      <w:r>
        <w:rPr>
          <w:spacing w:val="-3"/>
        </w:rPr>
        <w:t> </w:t>
      </w:r>
      <w:r>
        <w:rPr/>
        <w:t>produce</w:t>
      </w:r>
      <w:r>
        <w:rPr>
          <w:spacing w:val="-3"/>
        </w:rPr>
        <w:t> </w:t>
      </w:r>
      <w:r>
        <w:rPr/>
        <w:t>an</w:t>
      </w:r>
      <w:r>
        <w:rPr>
          <w:spacing w:val="-3"/>
        </w:rPr>
        <w:t> </w:t>
      </w:r>
      <w:r>
        <w:rPr/>
        <w:t>error</w:t>
      </w:r>
      <w:r>
        <w:rPr>
          <w:spacing w:val="-2"/>
        </w:rPr>
        <w:t> </w:t>
      </w:r>
      <w:r>
        <w:rPr/>
        <w:t>message</w:t>
      </w:r>
      <w:r>
        <w:rPr>
          <w:spacing w:val="-3"/>
        </w:rPr>
        <w:t> </w:t>
      </w:r>
      <w:r>
        <w:rPr/>
        <w:t>if</w:t>
      </w:r>
      <w:r>
        <w:rPr>
          <w:spacing w:val="-3"/>
        </w:rPr>
        <w:t> </w:t>
      </w:r>
      <w:r>
        <w:rPr/>
        <w:t>the</w:t>
      </w:r>
      <w:r>
        <w:rPr>
          <w:spacing w:val="-2"/>
        </w:rPr>
        <w:t> </w:t>
      </w:r>
      <w:r>
        <w:rPr/>
        <w:t>user inputs the incorrect treatment codes or mixes permanent imports with temporary imports on the one</w:t>
      </w:r>
      <w:r>
        <w:rPr>
          <w:spacing w:val="-19"/>
        </w:rPr>
        <w:t> </w:t>
      </w:r>
      <w:r>
        <w:rPr/>
        <w:t>lodgement).</w:t>
      </w:r>
    </w:p>
    <w:p>
      <w:pPr>
        <w:pStyle w:val="BodyText"/>
        <w:spacing w:before="5"/>
        <w:rPr>
          <w:sz w:val="16"/>
        </w:rPr>
      </w:pPr>
    </w:p>
    <w:p>
      <w:pPr>
        <w:pStyle w:val="BodyText"/>
        <w:spacing w:line="237" w:lineRule="auto" w:before="1"/>
        <w:ind w:left="373" w:right="390"/>
        <w:jc w:val="both"/>
      </w:pPr>
      <w:r>
        <w:rPr/>
        <w:pict>
          <v:shape style="position:absolute;margin-left:37.793461pt;margin-top:4.813257pt;width:2.75pt;height:2.75pt;mso-position-horizontal-relative:page;mso-position-vertical-relative:paragraph;z-index:15738880" coordorigin="756,96" coordsize="55,55" path="m801,150l765,150,756,141,756,105,765,96,801,96,810,105,810,123,810,141,801,150xe" filled="true" fillcolor="#000000" stroked="false">
            <v:path arrowok="t"/>
            <v:fill type="solid"/>
            <w10:wrap type="none"/>
          </v:shape>
        </w:pict>
      </w:r>
      <w:r>
        <w:rPr/>
        <w:t>If</w:t>
      </w:r>
      <w:r>
        <w:rPr>
          <w:spacing w:val="-3"/>
        </w:rPr>
        <w:t> </w:t>
      </w:r>
      <w:r>
        <w:rPr/>
        <w:t>goods</w:t>
      </w:r>
      <w:r>
        <w:rPr>
          <w:spacing w:val="-3"/>
        </w:rPr>
        <w:t> </w:t>
      </w:r>
      <w:r>
        <w:rPr/>
        <w:t>are</w:t>
      </w:r>
      <w:r>
        <w:rPr>
          <w:spacing w:val="-3"/>
        </w:rPr>
        <w:t> </w:t>
      </w:r>
      <w:r>
        <w:rPr/>
        <w:t>connected</w:t>
      </w:r>
      <w:r>
        <w:rPr>
          <w:spacing w:val="-3"/>
        </w:rPr>
        <w:t> </w:t>
      </w:r>
      <w:r>
        <w:rPr/>
        <w:t>with</w:t>
      </w:r>
      <w:r>
        <w:rPr>
          <w:spacing w:val="-2"/>
        </w:rPr>
        <w:t> </w:t>
      </w:r>
      <w:r>
        <w:rPr/>
        <w:t>the</w:t>
      </w:r>
      <w:r>
        <w:rPr>
          <w:spacing w:val="-3"/>
        </w:rPr>
        <w:t> </w:t>
      </w:r>
      <w:r>
        <w:rPr/>
        <w:t>Olympics,</w:t>
      </w:r>
      <w:r>
        <w:rPr>
          <w:spacing w:val="-3"/>
        </w:rPr>
        <w:t> </w:t>
      </w:r>
      <w:r>
        <w:rPr/>
        <w:t>quote</w:t>
      </w:r>
      <w:r>
        <w:rPr>
          <w:spacing w:val="-3"/>
        </w:rPr>
        <w:t> </w:t>
      </w:r>
      <w:r>
        <w:rPr/>
        <w:t>the</w:t>
      </w:r>
      <w:r>
        <w:rPr>
          <w:spacing w:val="-3"/>
        </w:rPr>
        <w:t> </w:t>
      </w:r>
      <w:r>
        <w:rPr/>
        <w:t>common</w:t>
      </w:r>
      <w:r>
        <w:rPr>
          <w:spacing w:val="-2"/>
        </w:rPr>
        <w:t> </w:t>
      </w:r>
      <w:r>
        <w:rPr/>
        <w:t>Customs</w:t>
      </w:r>
      <w:r>
        <w:rPr>
          <w:spacing w:val="-3"/>
        </w:rPr>
        <w:t> </w:t>
      </w:r>
      <w:r>
        <w:rPr/>
        <w:t>owner</w:t>
      </w:r>
      <w:r>
        <w:rPr>
          <w:spacing w:val="-3"/>
        </w:rPr>
        <w:t> </w:t>
      </w:r>
      <w:r>
        <w:rPr/>
        <w:t>code</w:t>
      </w:r>
      <w:r>
        <w:rPr>
          <w:spacing w:val="-3"/>
        </w:rPr>
        <w:t> </w:t>
      </w:r>
      <w:r>
        <w:rPr/>
        <w:t>(2873281A)</w:t>
      </w:r>
      <w:r>
        <w:rPr>
          <w:spacing w:val="-3"/>
        </w:rPr>
        <w:t> </w:t>
      </w:r>
      <w:r>
        <w:rPr/>
        <w:t>and</w:t>
      </w:r>
      <w:r>
        <w:rPr>
          <w:spacing w:val="-2"/>
        </w:rPr>
        <w:t> </w:t>
      </w:r>
      <w:r>
        <w:rPr/>
        <w:t>supplier</w:t>
      </w:r>
      <w:r>
        <w:rPr>
          <w:spacing w:val="-3"/>
        </w:rPr>
        <w:t> </w:t>
      </w:r>
      <w:r>
        <w:rPr/>
        <w:t>code</w:t>
      </w:r>
      <w:r>
        <w:rPr>
          <w:spacing w:val="-3"/>
        </w:rPr>
        <w:t> </w:t>
      </w:r>
      <w:r>
        <w:rPr/>
        <w:t>(2873284Q)</w:t>
      </w:r>
      <w:r>
        <w:rPr>
          <w:spacing w:val="-3"/>
        </w:rPr>
        <w:t> </w:t>
      </w:r>
      <w:r>
        <w:rPr/>
        <w:t>allocated</w:t>
      </w:r>
      <w:r>
        <w:rPr>
          <w:spacing w:val="-3"/>
        </w:rPr>
        <w:t> </w:t>
      </w:r>
      <w:r>
        <w:rPr/>
        <w:t>to</w:t>
      </w:r>
      <w:r>
        <w:rPr>
          <w:spacing w:val="-2"/>
        </w:rPr>
        <w:t> </w:t>
      </w:r>
      <w:r>
        <w:rPr/>
        <w:t>identify</w:t>
      </w:r>
      <w:r>
        <w:rPr>
          <w:spacing w:val="-3"/>
        </w:rPr>
        <w:t> </w:t>
      </w:r>
      <w:r>
        <w:rPr/>
        <w:t>all</w:t>
      </w:r>
      <w:r>
        <w:rPr>
          <w:spacing w:val="-3"/>
        </w:rPr>
        <w:t> </w:t>
      </w:r>
      <w:r>
        <w:rPr/>
        <w:t>temporarily</w:t>
      </w:r>
      <w:r>
        <w:rPr>
          <w:spacing w:val="-3"/>
        </w:rPr>
        <w:t> </w:t>
      </w:r>
      <w:r>
        <w:rPr/>
        <w:t>imported</w:t>
      </w:r>
      <w:r>
        <w:rPr>
          <w:spacing w:val="-3"/>
        </w:rPr>
        <w:t> </w:t>
      </w:r>
      <w:r>
        <w:rPr/>
        <w:t>Olympic goods that arrive without</w:t>
      </w:r>
      <w:r>
        <w:rPr>
          <w:spacing w:val="-5"/>
        </w:rPr>
        <w:t> </w:t>
      </w:r>
      <w:r>
        <w:rPr/>
        <w:t>carnet.</w:t>
      </w:r>
    </w:p>
    <w:p>
      <w:pPr>
        <w:pStyle w:val="BodyText"/>
        <w:spacing w:before="3"/>
        <w:rPr>
          <w:sz w:val="16"/>
        </w:rPr>
      </w:pPr>
    </w:p>
    <w:p>
      <w:pPr>
        <w:pStyle w:val="BodyText"/>
        <w:ind w:left="373"/>
      </w:pPr>
      <w:r>
        <w:rPr/>
        <w:pict>
          <v:shape style="position:absolute;margin-left:37.793461pt;margin-top:4.852389pt;width:2.75pt;height:2.75pt;mso-position-horizontal-relative:page;mso-position-vertical-relative:paragraph;z-index:15739392" coordorigin="756,97" coordsize="55,55" path="m801,151l765,151,756,142,756,106,765,97,801,97,810,106,810,124,810,142,801,151xe" filled="true" fillcolor="#000000" stroked="false">
            <v:path arrowok="t"/>
            <v:fill type="solid"/>
            <w10:wrap type="none"/>
          </v:shape>
        </w:pict>
      </w:r>
      <w:r>
        <w:rPr/>
        <w:t>The Schedule 3 tariff item must also be quoted when using the new treatment code.</w:t>
      </w:r>
    </w:p>
    <w:p>
      <w:pPr>
        <w:pStyle w:val="BodyText"/>
        <w:spacing w:before="4"/>
        <w:rPr>
          <w:sz w:val="16"/>
        </w:rPr>
      </w:pPr>
    </w:p>
    <w:p>
      <w:pPr>
        <w:pStyle w:val="BodyText"/>
        <w:ind w:left="373"/>
      </w:pPr>
      <w:r>
        <w:rPr/>
        <w:pict>
          <v:shape style="position:absolute;margin-left:37.793461pt;margin-top:4.852386pt;width:2.75pt;height:2.75pt;mso-position-horizontal-relative:page;mso-position-vertical-relative:paragraph;z-index:15739904" coordorigin="756,97" coordsize="55,55" path="m801,151l765,151,756,142,756,106,765,97,801,97,810,106,810,124,810,142,801,151xe" filled="true" fillcolor="#000000" stroked="false">
            <v:path arrowok="t"/>
            <v:fill type="solid"/>
            <w10:wrap type="none"/>
          </v:shape>
        </w:pict>
      </w:r>
      <w:r>
        <w:rPr/>
        <w:t>Goods temporarily imported using COMPILE will be subject to standard response times, as specified in service level agreements.</w:t>
      </w:r>
    </w:p>
    <w:p>
      <w:pPr>
        <w:pStyle w:val="BodyText"/>
        <w:spacing w:before="3"/>
        <w:rPr>
          <w:sz w:val="16"/>
        </w:rPr>
      </w:pPr>
    </w:p>
    <w:p>
      <w:pPr>
        <w:pStyle w:val="Heading2"/>
      </w:pPr>
      <w:r>
        <w:rPr/>
        <w:t>Manual lodgement</w:t>
      </w:r>
    </w:p>
    <w:p>
      <w:pPr>
        <w:pStyle w:val="BodyText"/>
        <w:spacing w:before="3"/>
        <w:rPr>
          <w:b/>
          <w:sz w:val="16"/>
        </w:rPr>
      </w:pPr>
    </w:p>
    <w:p>
      <w:pPr>
        <w:pStyle w:val="BodyText"/>
        <w:spacing w:before="1"/>
        <w:ind w:left="108"/>
      </w:pPr>
      <w:r>
        <w:rPr/>
        <w:t>Applications for temporary admission on Form 46AA will be accepted when lodged by eligible importers direct with Customs and supported by the necessary documentation.</w:t>
      </w:r>
    </w:p>
    <w:p>
      <w:pPr>
        <w:pStyle w:val="BodyText"/>
        <w:spacing w:before="5"/>
        <w:rPr>
          <w:sz w:val="16"/>
        </w:rPr>
      </w:pPr>
    </w:p>
    <w:p>
      <w:pPr>
        <w:pStyle w:val="BodyText"/>
        <w:spacing w:line="237" w:lineRule="auto"/>
        <w:ind w:left="108" w:right="325"/>
      </w:pPr>
      <w:r>
        <w:rPr/>
        <w:t>Goods valued at less than A$250 or for personal temporary importations may be admitted on Form 46AA without the need to apply using COMPILE, provided the officer is satisfied the goods are intended for re-export and satisfy the relevant Convention provisions.</w:t>
      </w:r>
    </w:p>
    <w:p>
      <w:pPr>
        <w:pStyle w:val="BodyText"/>
        <w:rPr>
          <w:sz w:val="24"/>
        </w:rPr>
      </w:pPr>
    </w:p>
    <w:p>
      <w:pPr>
        <w:pStyle w:val="Heading1"/>
        <w:numPr>
          <w:ilvl w:val="0"/>
          <w:numId w:val="1"/>
        </w:numPr>
        <w:tabs>
          <w:tab w:pos="379" w:val="left" w:leader="none"/>
        </w:tabs>
        <w:spacing w:line="240" w:lineRule="auto" w:before="0" w:after="0"/>
        <w:ind w:left="378" w:right="0" w:hanging="271"/>
        <w:jc w:val="left"/>
      </w:pPr>
      <w:r>
        <w:rPr>
          <w:color w:val="202020"/>
        </w:rPr>
        <w:t>SECTION 162A/REGULATION 125</w:t>
      </w:r>
      <w:r>
        <w:rPr>
          <w:color w:val="202020"/>
          <w:spacing w:val="1"/>
        </w:rPr>
        <w:t> </w:t>
      </w:r>
      <w:r>
        <w:rPr>
          <w:color w:val="202020"/>
        </w:rPr>
        <w:t>(CARNETS)</w:t>
      </w:r>
    </w:p>
    <w:p>
      <w:pPr>
        <w:pStyle w:val="BodyText"/>
        <w:rPr>
          <w:b/>
          <w:sz w:val="26"/>
        </w:rPr>
      </w:pPr>
    </w:p>
    <w:p>
      <w:pPr>
        <w:pStyle w:val="BodyText"/>
        <w:spacing w:line="237" w:lineRule="auto" w:before="150"/>
        <w:ind w:left="108" w:right="505"/>
      </w:pPr>
      <w:r>
        <w:rPr/>
        <w:t>Carnets issued under the Customs Conventions listed above remain acceptable for the temporary duty free admission of goods, provided the carnet is current and valid for Australia. Carnets for Olympic goods issued under Conventions such as the fairs and exhibitions and professional equipment provisions will be accepted.</w:t>
      </w:r>
    </w:p>
    <w:p>
      <w:pPr>
        <w:pStyle w:val="BodyText"/>
        <w:spacing w:before="6"/>
        <w:rPr>
          <w:sz w:val="16"/>
        </w:rPr>
      </w:pPr>
    </w:p>
    <w:p>
      <w:pPr>
        <w:pStyle w:val="BodyText"/>
        <w:spacing w:line="237" w:lineRule="auto"/>
        <w:ind w:left="108" w:right="187"/>
      </w:pPr>
      <w:r>
        <w:rPr/>
        <w:t>The carnet holder should present the carnet and related supporting documentation to cargo examination staff in the port of import, in accordance with existing procedures. Completion of Forms 46A or 46AA is not necessary for goods covered by carnet.</w:t>
      </w:r>
    </w:p>
    <w:p>
      <w:pPr>
        <w:pStyle w:val="BodyText"/>
        <w:spacing w:before="6"/>
        <w:rPr>
          <w:sz w:val="16"/>
        </w:rPr>
      </w:pPr>
    </w:p>
    <w:p>
      <w:pPr>
        <w:pStyle w:val="BodyText"/>
        <w:spacing w:line="237" w:lineRule="auto"/>
        <w:ind w:left="108" w:right="516"/>
      </w:pPr>
      <w:r>
        <w:rPr/>
        <w:t>(</w:t>
      </w:r>
      <w:r>
        <w:rPr>
          <w:b/>
        </w:rPr>
        <w:t>Note</w:t>
      </w:r>
      <w:r>
        <w:rPr/>
        <w:t>: In all instances, permission to take delivery without payment of duty is granted subject to the conditions set out in the Customs Regulations. In particular, temporarily imported goods must not be lent, sold, pledged, mortgaged, hired, given away, exchanged, altered or disposed of without prior permission from Customs).</w:t>
      </w:r>
    </w:p>
    <w:p>
      <w:pPr>
        <w:spacing w:after="0" w:line="237" w:lineRule="auto"/>
        <w:sectPr>
          <w:pgSz w:w="16840" w:h="11900" w:orient="landscape"/>
          <w:pgMar w:top="500" w:bottom="280" w:left="580" w:right="440"/>
        </w:sectPr>
      </w:pPr>
    </w:p>
    <w:p>
      <w:pPr>
        <w:pStyle w:val="BodyText"/>
        <w:spacing w:line="237" w:lineRule="auto" w:before="79"/>
        <w:ind w:left="108" w:right="198"/>
      </w:pPr>
      <w:r>
        <w:rPr/>
        <w:t>The goods must be re-exported within the specified period and the importer is required to advise the Customs prior to export so the security or undertaking can be acquitted, otherwise a claim for the revenue will be issued.</w:t>
      </w:r>
    </w:p>
    <w:p>
      <w:pPr>
        <w:pStyle w:val="BodyText"/>
        <w:rPr>
          <w:sz w:val="24"/>
        </w:rPr>
      </w:pPr>
    </w:p>
    <w:p>
      <w:pPr>
        <w:pStyle w:val="Heading1"/>
        <w:numPr>
          <w:ilvl w:val="0"/>
          <w:numId w:val="1"/>
        </w:numPr>
        <w:tabs>
          <w:tab w:pos="379" w:val="left" w:leader="none"/>
        </w:tabs>
        <w:spacing w:line="240" w:lineRule="auto" w:before="0" w:after="0"/>
        <w:ind w:left="378" w:right="0" w:hanging="271"/>
        <w:jc w:val="left"/>
      </w:pPr>
      <w:r>
        <w:rPr>
          <w:color w:val="202020"/>
        </w:rPr>
        <w:t>SAMPLING</w:t>
      </w:r>
    </w:p>
    <w:p>
      <w:pPr>
        <w:pStyle w:val="BodyText"/>
        <w:rPr>
          <w:b/>
          <w:sz w:val="26"/>
        </w:rPr>
      </w:pPr>
    </w:p>
    <w:p>
      <w:pPr>
        <w:pStyle w:val="BodyText"/>
        <w:spacing w:line="237" w:lineRule="auto" w:before="151"/>
        <w:ind w:left="108" w:right="218"/>
      </w:pPr>
      <w:r>
        <w:rPr/>
        <w:t>A proportion of applications lodged for temporary import permission will be subject to compliance checks. For example, compliance checks will be conducted on Olympic goods temporarily admitted under Regulation 125A to ensure eligibility requirements have been satisfied and that the goods are as described and supported by the appropriate documentation.</w:t>
      </w:r>
    </w:p>
    <w:p>
      <w:pPr>
        <w:pStyle w:val="BodyText"/>
        <w:rPr>
          <w:sz w:val="24"/>
        </w:rPr>
      </w:pPr>
    </w:p>
    <w:p>
      <w:pPr>
        <w:pStyle w:val="Heading1"/>
        <w:numPr>
          <w:ilvl w:val="0"/>
          <w:numId w:val="1"/>
        </w:numPr>
        <w:tabs>
          <w:tab w:pos="379" w:val="left" w:leader="none"/>
        </w:tabs>
        <w:spacing w:line="240" w:lineRule="auto" w:before="0" w:after="0"/>
        <w:ind w:left="378" w:right="0" w:hanging="271"/>
        <w:jc w:val="left"/>
      </w:pPr>
      <w:r>
        <w:rPr>
          <w:color w:val="202020"/>
        </w:rPr>
        <w:t>SECURITIES</w:t>
      </w:r>
    </w:p>
    <w:p>
      <w:pPr>
        <w:pStyle w:val="BodyText"/>
        <w:rPr>
          <w:b/>
          <w:sz w:val="26"/>
        </w:rPr>
      </w:pPr>
    </w:p>
    <w:p>
      <w:pPr>
        <w:pStyle w:val="BodyText"/>
        <w:spacing w:line="237" w:lineRule="auto" w:before="150"/>
        <w:ind w:left="108" w:right="283"/>
      </w:pPr>
      <w:r>
        <w:rPr/>
        <w:t>The Securities officer in the port of import will determine the nature of the security/ undertaking required with regard to the potential revenue risk. Customs retains the right to seek bank guarantees or similar negotiable instruments if the goods represent significant revenue exposure.</w:t>
      </w:r>
    </w:p>
    <w:p>
      <w:pPr>
        <w:pStyle w:val="BodyText"/>
        <w:rPr>
          <w:sz w:val="24"/>
        </w:rPr>
      </w:pPr>
    </w:p>
    <w:p>
      <w:pPr>
        <w:pStyle w:val="Heading1"/>
        <w:numPr>
          <w:ilvl w:val="0"/>
          <w:numId w:val="1"/>
        </w:numPr>
        <w:tabs>
          <w:tab w:pos="379" w:val="left" w:leader="none"/>
        </w:tabs>
        <w:spacing w:line="240" w:lineRule="auto" w:before="0" w:after="0"/>
        <w:ind w:left="378" w:right="0" w:hanging="271"/>
        <w:jc w:val="left"/>
      </w:pPr>
      <w:r>
        <w:rPr>
          <w:color w:val="202020"/>
        </w:rPr>
        <w:t>EXPORT REPORTING</w:t>
      </w:r>
    </w:p>
    <w:p>
      <w:pPr>
        <w:pStyle w:val="BodyText"/>
        <w:rPr>
          <w:b/>
          <w:sz w:val="26"/>
        </w:rPr>
      </w:pPr>
    </w:p>
    <w:p>
      <w:pPr>
        <w:pStyle w:val="BodyText"/>
        <w:spacing w:line="237" w:lineRule="auto" w:before="151"/>
        <w:ind w:left="108" w:right="189"/>
      </w:pPr>
      <w:r>
        <w:rPr/>
        <w:t>Goods temporarily imported under Section 162 or Section 162A that are included in a consignment over the value of $500 and classified to a single export statistical item under the Australian Harmonised Export Commodity Classification (AHECC) code, require an export entry (Section 162), or an application to export (Section 162A). Goods which arrived on carnet do not require separate export documentation.</w:t>
      </w:r>
    </w:p>
    <w:p>
      <w:pPr>
        <w:pStyle w:val="BodyText"/>
        <w:spacing w:before="5"/>
        <w:rPr>
          <w:sz w:val="16"/>
        </w:rPr>
      </w:pPr>
    </w:p>
    <w:p>
      <w:pPr>
        <w:pStyle w:val="BodyText"/>
        <w:spacing w:line="237" w:lineRule="auto"/>
        <w:ind w:left="108" w:right="251"/>
      </w:pPr>
      <w:r>
        <w:rPr/>
        <w:t>Records of all high risk Olympic related goods will be maintained to ensure exportation has taken place. If the goods are not re-exported, recovery of the revenue will be sought as if the goods had not initially been granted temporary import admission (i.e. revenue is payable at the rate applying at the time of initial import).</w:t>
      </w:r>
    </w:p>
    <w:p>
      <w:pPr>
        <w:pStyle w:val="BodyText"/>
        <w:spacing w:before="4"/>
        <w:rPr>
          <w:sz w:val="16"/>
        </w:rPr>
      </w:pPr>
    </w:p>
    <w:p>
      <w:pPr>
        <w:spacing w:line="446" w:lineRule="auto" w:before="0"/>
        <w:ind w:left="108" w:right="13398" w:firstLine="0"/>
        <w:jc w:val="left"/>
        <w:rPr>
          <w:sz w:val="19"/>
        </w:rPr>
      </w:pPr>
      <w:r>
        <w:rPr>
          <w:b/>
          <w:sz w:val="19"/>
        </w:rPr>
        <w:t>AHECC requirements </w:t>
      </w:r>
      <w:r>
        <w:rPr>
          <w:sz w:val="19"/>
        </w:rPr>
        <w:t>Prior to 1 February 2000</w:t>
      </w:r>
    </w:p>
    <w:p>
      <w:pPr>
        <w:pStyle w:val="BodyText"/>
        <w:spacing w:line="217" w:lineRule="exact"/>
        <w:ind w:left="108"/>
      </w:pPr>
      <w:r>
        <w:rPr/>
        <w:t>The current AHECC classifications will remain unchanged:</w:t>
      </w:r>
    </w:p>
    <w:p>
      <w:pPr>
        <w:pStyle w:val="BodyText"/>
        <w:spacing w:before="6"/>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860"/>
        <w:gridCol w:w="1501"/>
        <w:gridCol w:w="2651"/>
        <w:gridCol w:w="1014"/>
        <w:gridCol w:w="8563"/>
      </w:tblGrid>
      <w:tr>
        <w:trPr>
          <w:trHeight w:val="593" w:hRule="atLeast"/>
        </w:trPr>
        <w:tc>
          <w:tcPr>
            <w:tcW w:w="1860" w:type="dxa"/>
            <w:tcBorders>
              <w:left w:val="nil"/>
            </w:tcBorders>
          </w:tcPr>
          <w:p>
            <w:pPr>
              <w:pStyle w:val="TableParagraph"/>
              <w:spacing w:before="91"/>
              <w:ind w:left="101"/>
              <w:rPr>
                <w:b/>
                <w:sz w:val="19"/>
              </w:rPr>
            </w:pPr>
            <w:r>
              <w:rPr>
                <w:b/>
                <w:color w:val="202020"/>
                <w:sz w:val="19"/>
              </w:rPr>
              <w:t>HEADING NO</w:t>
            </w:r>
          </w:p>
        </w:tc>
        <w:tc>
          <w:tcPr>
            <w:tcW w:w="1501" w:type="dxa"/>
          </w:tcPr>
          <w:p>
            <w:pPr>
              <w:pStyle w:val="TableParagraph"/>
              <w:spacing w:before="91"/>
              <w:ind w:left="100"/>
              <w:rPr>
                <w:b/>
                <w:sz w:val="19"/>
              </w:rPr>
            </w:pPr>
            <w:r>
              <w:rPr>
                <w:b/>
                <w:color w:val="202020"/>
                <w:sz w:val="19"/>
              </w:rPr>
              <w:t>HS CODE</w:t>
            </w:r>
          </w:p>
        </w:tc>
        <w:tc>
          <w:tcPr>
            <w:tcW w:w="2651" w:type="dxa"/>
          </w:tcPr>
          <w:p>
            <w:pPr>
              <w:pStyle w:val="TableParagraph"/>
              <w:spacing w:before="91"/>
              <w:ind w:left="101"/>
              <w:rPr>
                <w:b/>
                <w:sz w:val="19"/>
              </w:rPr>
            </w:pPr>
            <w:r>
              <w:rPr>
                <w:b/>
                <w:color w:val="202020"/>
                <w:sz w:val="19"/>
              </w:rPr>
              <w:t>EXPORT STAT ITEM</w:t>
            </w:r>
          </w:p>
        </w:tc>
        <w:tc>
          <w:tcPr>
            <w:tcW w:w="1014" w:type="dxa"/>
          </w:tcPr>
          <w:p>
            <w:pPr>
              <w:pStyle w:val="TableParagraph"/>
              <w:spacing w:before="91"/>
              <w:ind w:left="102"/>
              <w:rPr>
                <w:b/>
                <w:sz w:val="19"/>
              </w:rPr>
            </w:pPr>
            <w:r>
              <w:rPr>
                <w:b/>
                <w:color w:val="202020"/>
                <w:sz w:val="19"/>
              </w:rPr>
              <w:t>UNITS</w:t>
            </w:r>
          </w:p>
        </w:tc>
        <w:tc>
          <w:tcPr>
            <w:tcW w:w="8563" w:type="dxa"/>
            <w:tcBorders>
              <w:right w:val="nil"/>
            </w:tcBorders>
          </w:tcPr>
          <w:p>
            <w:pPr>
              <w:pStyle w:val="TableParagraph"/>
              <w:spacing w:before="91"/>
              <w:ind w:left="102"/>
              <w:rPr>
                <w:b/>
                <w:sz w:val="19"/>
              </w:rPr>
            </w:pPr>
            <w:r>
              <w:rPr>
                <w:b/>
                <w:color w:val="202020"/>
                <w:sz w:val="19"/>
              </w:rPr>
              <w:t>DESCRIPTION</w:t>
            </w:r>
          </w:p>
        </w:tc>
      </w:tr>
      <w:tr>
        <w:trPr>
          <w:trHeight w:val="187" w:hRule="atLeast"/>
        </w:trPr>
        <w:tc>
          <w:tcPr>
            <w:tcW w:w="1860" w:type="dxa"/>
            <w:tcBorders>
              <w:left w:val="nil"/>
            </w:tcBorders>
          </w:tcPr>
          <w:p>
            <w:pPr>
              <w:pStyle w:val="TableParagraph"/>
              <w:rPr>
                <w:rFonts w:ascii="Times New Roman"/>
                <w:sz w:val="12"/>
              </w:rPr>
            </w:pPr>
          </w:p>
        </w:tc>
        <w:tc>
          <w:tcPr>
            <w:tcW w:w="1501" w:type="dxa"/>
          </w:tcPr>
          <w:p>
            <w:pPr>
              <w:pStyle w:val="TableParagraph"/>
              <w:rPr>
                <w:rFonts w:ascii="Times New Roman"/>
                <w:sz w:val="12"/>
              </w:rPr>
            </w:pPr>
          </w:p>
        </w:tc>
        <w:tc>
          <w:tcPr>
            <w:tcW w:w="2651" w:type="dxa"/>
          </w:tcPr>
          <w:p>
            <w:pPr>
              <w:pStyle w:val="TableParagraph"/>
              <w:rPr>
                <w:rFonts w:ascii="Times New Roman"/>
                <w:sz w:val="12"/>
              </w:rPr>
            </w:pPr>
          </w:p>
        </w:tc>
        <w:tc>
          <w:tcPr>
            <w:tcW w:w="1014" w:type="dxa"/>
          </w:tcPr>
          <w:p>
            <w:pPr>
              <w:pStyle w:val="TableParagraph"/>
              <w:rPr>
                <w:rFonts w:ascii="Times New Roman"/>
                <w:sz w:val="12"/>
              </w:rPr>
            </w:pPr>
          </w:p>
        </w:tc>
        <w:tc>
          <w:tcPr>
            <w:tcW w:w="8563" w:type="dxa"/>
            <w:tcBorders>
              <w:right w:val="nil"/>
            </w:tcBorders>
          </w:tcPr>
          <w:p>
            <w:pPr>
              <w:pStyle w:val="TableParagraph"/>
              <w:rPr>
                <w:rFonts w:ascii="Times New Roman"/>
                <w:sz w:val="12"/>
              </w:rPr>
            </w:pPr>
          </w:p>
        </w:tc>
      </w:tr>
      <w:tr>
        <w:trPr>
          <w:trHeight w:val="593" w:hRule="atLeast"/>
        </w:trPr>
        <w:tc>
          <w:tcPr>
            <w:tcW w:w="1860" w:type="dxa"/>
            <w:tcBorders>
              <w:left w:val="nil"/>
            </w:tcBorders>
          </w:tcPr>
          <w:p>
            <w:pPr>
              <w:pStyle w:val="TableParagraph"/>
              <w:spacing w:before="91"/>
              <w:ind w:left="101"/>
              <w:rPr>
                <w:sz w:val="19"/>
              </w:rPr>
            </w:pPr>
            <w:r>
              <w:rPr>
                <w:color w:val="202020"/>
                <w:sz w:val="19"/>
              </w:rPr>
              <w:t>9902</w:t>
            </w:r>
          </w:p>
        </w:tc>
        <w:tc>
          <w:tcPr>
            <w:tcW w:w="1501" w:type="dxa"/>
          </w:tcPr>
          <w:p>
            <w:pPr>
              <w:pStyle w:val="TableParagraph"/>
              <w:rPr>
                <w:rFonts w:ascii="Times New Roman"/>
                <w:sz w:val="18"/>
              </w:rPr>
            </w:pPr>
          </w:p>
        </w:tc>
        <w:tc>
          <w:tcPr>
            <w:tcW w:w="2651" w:type="dxa"/>
          </w:tcPr>
          <w:p>
            <w:pPr>
              <w:pStyle w:val="TableParagraph"/>
              <w:rPr>
                <w:rFonts w:ascii="Times New Roman"/>
                <w:sz w:val="18"/>
              </w:rPr>
            </w:pPr>
          </w:p>
        </w:tc>
        <w:tc>
          <w:tcPr>
            <w:tcW w:w="1014" w:type="dxa"/>
          </w:tcPr>
          <w:p>
            <w:pPr>
              <w:pStyle w:val="TableParagraph"/>
              <w:rPr>
                <w:rFonts w:ascii="Times New Roman"/>
                <w:sz w:val="18"/>
              </w:rPr>
            </w:pPr>
          </w:p>
        </w:tc>
        <w:tc>
          <w:tcPr>
            <w:tcW w:w="8563" w:type="dxa"/>
            <w:tcBorders>
              <w:right w:val="nil"/>
            </w:tcBorders>
          </w:tcPr>
          <w:p>
            <w:pPr>
              <w:pStyle w:val="TableParagraph"/>
              <w:spacing w:before="91"/>
              <w:ind w:left="102"/>
              <w:rPr>
                <w:sz w:val="19"/>
              </w:rPr>
            </w:pPr>
            <w:r>
              <w:rPr>
                <w:color w:val="202020"/>
                <w:sz w:val="19"/>
              </w:rPr>
              <w:t>TEMPORARY TRADE:</w:t>
            </w:r>
          </w:p>
        </w:tc>
      </w:tr>
      <w:tr>
        <w:trPr>
          <w:trHeight w:val="187" w:hRule="atLeast"/>
        </w:trPr>
        <w:tc>
          <w:tcPr>
            <w:tcW w:w="1860" w:type="dxa"/>
            <w:tcBorders>
              <w:left w:val="nil"/>
            </w:tcBorders>
          </w:tcPr>
          <w:p>
            <w:pPr>
              <w:pStyle w:val="TableParagraph"/>
              <w:rPr>
                <w:rFonts w:ascii="Times New Roman"/>
                <w:sz w:val="12"/>
              </w:rPr>
            </w:pPr>
          </w:p>
        </w:tc>
        <w:tc>
          <w:tcPr>
            <w:tcW w:w="1501" w:type="dxa"/>
          </w:tcPr>
          <w:p>
            <w:pPr>
              <w:pStyle w:val="TableParagraph"/>
              <w:rPr>
                <w:rFonts w:ascii="Times New Roman"/>
                <w:sz w:val="12"/>
              </w:rPr>
            </w:pPr>
          </w:p>
        </w:tc>
        <w:tc>
          <w:tcPr>
            <w:tcW w:w="2651" w:type="dxa"/>
          </w:tcPr>
          <w:p>
            <w:pPr>
              <w:pStyle w:val="TableParagraph"/>
              <w:rPr>
                <w:rFonts w:ascii="Times New Roman"/>
                <w:sz w:val="12"/>
              </w:rPr>
            </w:pPr>
          </w:p>
        </w:tc>
        <w:tc>
          <w:tcPr>
            <w:tcW w:w="1014" w:type="dxa"/>
          </w:tcPr>
          <w:p>
            <w:pPr>
              <w:pStyle w:val="TableParagraph"/>
              <w:rPr>
                <w:rFonts w:ascii="Times New Roman"/>
                <w:sz w:val="12"/>
              </w:rPr>
            </w:pPr>
          </w:p>
        </w:tc>
        <w:tc>
          <w:tcPr>
            <w:tcW w:w="8563" w:type="dxa"/>
            <w:tcBorders>
              <w:right w:val="nil"/>
            </w:tcBorders>
          </w:tcPr>
          <w:p>
            <w:pPr>
              <w:pStyle w:val="TableParagraph"/>
              <w:rPr>
                <w:rFonts w:ascii="Times New Roman"/>
                <w:sz w:val="12"/>
              </w:rPr>
            </w:pPr>
          </w:p>
        </w:tc>
      </w:tr>
      <w:tr>
        <w:trPr>
          <w:trHeight w:val="593" w:hRule="atLeast"/>
        </w:trPr>
        <w:tc>
          <w:tcPr>
            <w:tcW w:w="1860" w:type="dxa"/>
            <w:tcBorders>
              <w:left w:val="nil"/>
            </w:tcBorders>
          </w:tcPr>
          <w:p>
            <w:pPr>
              <w:pStyle w:val="TableParagraph"/>
              <w:rPr>
                <w:rFonts w:ascii="Times New Roman"/>
                <w:sz w:val="18"/>
              </w:rPr>
            </w:pPr>
          </w:p>
        </w:tc>
        <w:tc>
          <w:tcPr>
            <w:tcW w:w="1501" w:type="dxa"/>
          </w:tcPr>
          <w:p>
            <w:pPr>
              <w:pStyle w:val="TableParagraph"/>
              <w:spacing w:before="91"/>
              <w:ind w:left="100"/>
              <w:rPr>
                <w:sz w:val="19"/>
              </w:rPr>
            </w:pPr>
            <w:r>
              <w:rPr>
                <w:color w:val="202020"/>
                <w:sz w:val="19"/>
              </w:rPr>
              <w:t>9902.20(A)</w:t>
            </w:r>
          </w:p>
        </w:tc>
        <w:tc>
          <w:tcPr>
            <w:tcW w:w="2651" w:type="dxa"/>
          </w:tcPr>
          <w:p>
            <w:pPr>
              <w:pStyle w:val="TableParagraph"/>
              <w:rPr>
                <w:rFonts w:ascii="Times New Roman"/>
                <w:sz w:val="18"/>
              </w:rPr>
            </w:pPr>
          </w:p>
        </w:tc>
        <w:tc>
          <w:tcPr>
            <w:tcW w:w="1014" w:type="dxa"/>
          </w:tcPr>
          <w:p>
            <w:pPr>
              <w:pStyle w:val="TableParagraph"/>
              <w:rPr>
                <w:rFonts w:ascii="Times New Roman"/>
                <w:sz w:val="18"/>
              </w:rPr>
            </w:pPr>
          </w:p>
        </w:tc>
        <w:tc>
          <w:tcPr>
            <w:tcW w:w="8563" w:type="dxa"/>
            <w:tcBorders>
              <w:right w:val="nil"/>
            </w:tcBorders>
          </w:tcPr>
          <w:p>
            <w:pPr>
              <w:pStyle w:val="TableParagraph"/>
              <w:spacing w:before="91"/>
              <w:ind w:left="102"/>
              <w:rPr>
                <w:sz w:val="19"/>
              </w:rPr>
            </w:pPr>
            <w:r>
              <w:rPr>
                <w:color w:val="202020"/>
                <w:sz w:val="19"/>
              </w:rPr>
              <w:t>- Goods re-exported, being goods originally imported on a temporary basis:</w:t>
            </w:r>
          </w:p>
        </w:tc>
      </w:tr>
      <w:tr>
        <w:trPr>
          <w:trHeight w:val="715" w:hRule="atLeast"/>
        </w:trPr>
        <w:tc>
          <w:tcPr>
            <w:tcW w:w="1860" w:type="dxa"/>
            <w:tcBorders>
              <w:left w:val="nil"/>
            </w:tcBorders>
          </w:tcPr>
          <w:p>
            <w:pPr>
              <w:pStyle w:val="TableParagraph"/>
              <w:rPr>
                <w:rFonts w:ascii="Times New Roman"/>
                <w:sz w:val="18"/>
              </w:rPr>
            </w:pPr>
          </w:p>
        </w:tc>
        <w:tc>
          <w:tcPr>
            <w:tcW w:w="1501" w:type="dxa"/>
          </w:tcPr>
          <w:p>
            <w:pPr>
              <w:pStyle w:val="TableParagraph"/>
              <w:rPr>
                <w:rFonts w:ascii="Times New Roman"/>
                <w:sz w:val="18"/>
              </w:rPr>
            </w:pPr>
          </w:p>
        </w:tc>
        <w:tc>
          <w:tcPr>
            <w:tcW w:w="2651" w:type="dxa"/>
          </w:tcPr>
          <w:p>
            <w:pPr>
              <w:pStyle w:val="TableParagraph"/>
              <w:spacing w:before="105"/>
              <w:ind w:left="858"/>
              <w:rPr>
                <w:sz w:val="19"/>
              </w:rPr>
            </w:pPr>
            <w:r>
              <w:rPr>
                <w:color w:val="202020"/>
                <w:sz w:val="19"/>
              </w:rPr>
              <w:t>9902.20.11</w:t>
            </w:r>
          </w:p>
        </w:tc>
        <w:tc>
          <w:tcPr>
            <w:tcW w:w="1014" w:type="dxa"/>
          </w:tcPr>
          <w:p>
            <w:pPr>
              <w:pStyle w:val="TableParagraph"/>
              <w:spacing w:before="91"/>
              <w:ind w:left="102"/>
              <w:rPr>
                <w:sz w:val="19"/>
              </w:rPr>
            </w:pPr>
            <w:r>
              <w:rPr>
                <w:color w:val="202020"/>
                <w:sz w:val="19"/>
              </w:rPr>
              <w:t>NR</w:t>
            </w:r>
          </w:p>
        </w:tc>
        <w:tc>
          <w:tcPr>
            <w:tcW w:w="8563" w:type="dxa"/>
            <w:tcBorders>
              <w:right w:val="nil"/>
            </w:tcBorders>
          </w:tcPr>
          <w:p>
            <w:pPr>
              <w:pStyle w:val="TableParagraph"/>
              <w:spacing w:before="105"/>
              <w:ind w:left="102"/>
              <w:rPr>
                <w:sz w:val="19"/>
              </w:rPr>
            </w:pPr>
            <w:r>
              <w:rPr>
                <w:color w:val="202020"/>
                <w:sz w:val="19"/>
              </w:rPr>
              <w:t>- - Cargo (loaded on vessel or towed)</w:t>
            </w:r>
          </w:p>
        </w:tc>
      </w:tr>
      <w:tr>
        <w:trPr>
          <w:trHeight w:val="715" w:hRule="atLeast"/>
        </w:trPr>
        <w:tc>
          <w:tcPr>
            <w:tcW w:w="1860" w:type="dxa"/>
            <w:tcBorders>
              <w:left w:val="nil"/>
            </w:tcBorders>
          </w:tcPr>
          <w:p>
            <w:pPr>
              <w:pStyle w:val="TableParagraph"/>
              <w:rPr>
                <w:rFonts w:ascii="Times New Roman"/>
                <w:sz w:val="18"/>
              </w:rPr>
            </w:pPr>
          </w:p>
        </w:tc>
        <w:tc>
          <w:tcPr>
            <w:tcW w:w="1501" w:type="dxa"/>
          </w:tcPr>
          <w:p>
            <w:pPr>
              <w:pStyle w:val="TableParagraph"/>
              <w:rPr>
                <w:rFonts w:ascii="Times New Roman"/>
                <w:sz w:val="18"/>
              </w:rPr>
            </w:pPr>
          </w:p>
        </w:tc>
        <w:tc>
          <w:tcPr>
            <w:tcW w:w="2651" w:type="dxa"/>
          </w:tcPr>
          <w:p>
            <w:pPr>
              <w:pStyle w:val="TableParagraph"/>
              <w:spacing w:before="91"/>
              <w:ind w:left="101"/>
              <w:rPr>
                <w:sz w:val="19"/>
              </w:rPr>
            </w:pPr>
            <w:r>
              <w:rPr>
                <w:color w:val="202020"/>
                <w:sz w:val="19"/>
              </w:rPr>
              <w:t>9902.20.21</w:t>
            </w:r>
          </w:p>
        </w:tc>
        <w:tc>
          <w:tcPr>
            <w:tcW w:w="1014" w:type="dxa"/>
          </w:tcPr>
          <w:p>
            <w:pPr>
              <w:pStyle w:val="TableParagraph"/>
              <w:spacing w:before="91"/>
              <w:ind w:left="102"/>
              <w:rPr>
                <w:sz w:val="19"/>
              </w:rPr>
            </w:pPr>
            <w:r>
              <w:rPr>
                <w:color w:val="202020"/>
                <w:sz w:val="19"/>
              </w:rPr>
              <w:t>NR</w:t>
            </w:r>
          </w:p>
        </w:tc>
        <w:tc>
          <w:tcPr>
            <w:tcW w:w="8563" w:type="dxa"/>
            <w:tcBorders>
              <w:right w:val="nil"/>
            </w:tcBorders>
          </w:tcPr>
          <w:p>
            <w:pPr>
              <w:pStyle w:val="TableParagraph"/>
              <w:spacing w:before="105"/>
              <w:ind w:left="102"/>
              <w:rPr>
                <w:sz w:val="19"/>
              </w:rPr>
            </w:pPr>
            <w:r>
              <w:rPr>
                <w:color w:val="202020"/>
                <w:sz w:val="19"/>
              </w:rPr>
              <w:t>- - Non-cargo (under own power)</w:t>
            </w:r>
          </w:p>
        </w:tc>
      </w:tr>
    </w:tbl>
    <w:p>
      <w:pPr>
        <w:spacing w:after="0"/>
        <w:rPr>
          <w:sz w:val="19"/>
        </w:rPr>
        <w:sectPr>
          <w:pgSz w:w="16840" w:h="11900" w:orient="landscape"/>
          <w:pgMar w:top="500" w:bottom="280" w:left="580" w:right="440"/>
        </w:sectPr>
      </w:pPr>
    </w:p>
    <w:p>
      <w:pPr>
        <w:pStyle w:val="Heading2"/>
        <w:spacing w:before="77"/>
      </w:pPr>
      <w:r>
        <w:rPr/>
        <w:t>Post 1 February 2000</w:t>
      </w:r>
    </w:p>
    <w:p>
      <w:pPr>
        <w:pStyle w:val="BodyText"/>
        <w:spacing w:before="4"/>
        <w:rPr>
          <w:b/>
          <w:sz w:val="16"/>
        </w:rPr>
      </w:pPr>
    </w:p>
    <w:p>
      <w:pPr>
        <w:pStyle w:val="BodyText"/>
        <w:ind w:left="108"/>
      </w:pPr>
      <w:r>
        <w:rPr/>
        <w:t>From 1 February 2000 goods will be classified as follows:</w:t>
      </w:r>
    </w:p>
    <w:p>
      <w:pPr>
        <w:pStyle w:val="BodyText"/>
        <w:spacing w:before="5"/>
        <w:rPr>
          <w:sz w:val="16"/>
        </w:rPr>
      </w:pPr>
    </w:p>
    <w:tbl>
      <w:tblPr>
        <w:tblW w:w="0" w:type="auto"/>
        <w:jc w:val="left"/>
        <w:tblInd w:w="10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CellMar>
          <w:top w:w="0" w:type="dxa"/>
          <w:left w:w="0" w:type="dxa"/>
          <w:bottom w:w="0" w:type="dxa"/>
          <w:right w:w="0" w:type="dxa"/>
        </w:tblCellMar>
        <w:tblLook w:val="01E0"/>
      </w:tblPr>
      <w:tblGrid>
        <w:gridCol w:w="1427"/>
        <w:gridCol w:w="1150"/>
        <w:gridCol w:w="2029"/>
        <w:gridCol w:w="771"/>
        <w:gridCol w:w="10214"/>
      </w:tblGrid>
      <w:tr>
        <w:trPr>
          <w:trHeight w:val="593" w:hRule="atLeast"/>
        </w:trPr>
        <w:tc>
          <w:tcPr>
            <w:tcW w:w="1427" w:type="dxa"/>
            <w:tcBorders>
              <w:left w:val="nil"/>
            </w:tcBorders>
          </w:tcPr>
          <w:p>
            <w:pPr>
              <w:pStyle w:val="TableParagraph"/>
              <w:spacing w:before="91"/>
              <w:ind w:left="101"/>
              <w:rPr>
                <w:b/>
                <w:sz w:val="19"/>
              </w:rPr>
            </w:pPr>
            <w:r>
              <w:rPr>
                <w:b/>
                <w:color w:val="202020"/>
                <w:sz w:val="19"/>
              </w:rPr>
              <w:t>HEADING NO</w:t>
            </w:r>
          </w:p>
        </w:tc>
        <w:tc>
          <w:tcPr>
            <w:tcW w:w="1150" w:type="dxa"/>
          </w:tcPr>
          <w:p>
            <w:pPr>
              <w:pStyle w:val="TableParagraph"/>
              <w:spacing w:before="91"/>
              <w:ind w:left="7" w:right="75"/>
              <w:jc w:val="center"/>
              <w:rPr>
                <w:b/>
                <w:sz w:val="19"/>
              </w:rPr>
            </w:pPr>
            <w:r>
              <w:rPr>
                <w:b/>
                <w:color w:val="202020"/>
                <w:sz w:val="19"/>
              </w:rPr>
              <w:t>HS CODE</w:t>
            </w:r>
          </w:p>
        </w:tc>
        <w:tc>
          <w:tcPr>
            <w:tcW w:w="2029" w:type="dxa"/>
          </w:tcPr>
          <w:p>
            <w:pPr>
              <w:pStyle w:val="TableParagraph"/>
              <w:spacing w:before="91"/>
              <w:ind w:left="100"/>
              <w:rPr>
                <w:b/>
                <w:sz w:val="19"/>
              </w:rPr>
            </w:pPr>
            <w:r>
              <w:rPr>
                <w:b/>
                <w:color w:val="202020"/>
                <w:sz w:val="19"/>
              </w:rPr>
              <w:t>EXPORT STAT ITEM</w:t>
            </w:r>
          </w:p>
        </w:tc>
        <w:tc>
          <w:tcPr>
            <w:tcW w:w="771" w:type="dxa"/>
          </w:tcPr>
          <w:p>
            <w:pPr>
              <w:pStyle w:val="TableParagraph"/>
              <w:spacing w:before="91"/>
              <w:ind w:left="101"/>
              <w:rPr>
                <w:b/>
                <w:sz w:val="19"/>
              </w:rPr>
            </w:pPr>
            <w:r>
              <w:rPr>
                <w:b/>
                <w:color w:val="202020"/>
                <w:sz w:val="19"/>
              </w:rPr>
              <w:t>UNITS</w:t>
            </w:r>
          </w:p>
        </w:tc>
        <w:tc>
          <w:tcPr>
            <w:tcW w:w="10214" w:type="dxa"/>
            <w:tcBorders>
              <w:right w:val="nil"/>
            </w:tcBorders>
          </w:tcPr>
          <w:p>
            <w:pPr>
              <w:pStyle w:val="TableParagraph"/>
              <w:spacing w:before="91"/>
              <w:ind w:left="101"/>
              <w:rPr>
                <w:b/>
                <w:sz w:val="19"/>
              </w:rPr>
            </w:pPr>
            <w:r>
              <w:rPr>
                <w:b/>
                <w:color w:val="202020"/>
                <w:sz w:val="19"/>
              </w:rPr>
              <w:t>DESCRIPTION</w:t>
            </w:r>
          </w:p>
        </w:tc>
      </w:tr>
      <w:tr>
        <w:trPr>
          <w:trHeight w:val="187" w:hRule="atLeast"/>
        </w:trPr>
        <w:tc>
          <w:tcPr>
            <w:tcW w:w="1427" w:type="dxa"/>
            <w:tcBorders>
              <w:left w:val="nil"/>
            </w:tcBorders>
          </w:tcPr>
          <w:p>
            <w:pPr>
              <w:pStyle w:val="TableParagraph"/>
              <w:rPr>
                <w:rFonts w:ascii="Times New Roman"/>
                <w:sz w:val="12"/>
              </w:rPr>
            </w:pPr>
          </w:p>
        </w:tc>
        <w:tc>
          <w:tcPr>
            <w:tcW w:w="1150" w:type="dxa"/>
          </w:tcPr>
          <w:p>
            <w:pPr>
              <w:pStyle w:val="TableParagraph"/>
              <w:rPr>
                <w:rFonts w:ascii="Times New Roman"/>
                <w:sz w:val="12"/>
              </w:rPr>
            </w:pPr>
          </w:p>
        </w:tc>
        <w:tc>
          <w:tcPr>
            <w:tcW w:w="2029" w:type="dxa"/>
          </w:tcPr>
          <w:p>
            <w:pPr>
              <w:pStyle w:val="TableParagraph"/>
              <w:rPr>
                <w:rFonts w:ascii="Times New Roman"/>
                <w:sz w:val="12"/>
              </w:rPr>
            </w:pPr>
          </w:p>
        </w:tc>
        <w:tc>
          <w:tcPr>
            <w:tcW w:w="771" w:type="dxa"/>
          </w:tcPr>
          <w:p>
            <w:pPr>
              <w:pStyle w:val="TableParagraph"/>
              <w:rPr>
                <w:rFonts w:ascii="Times New Roman"/>
                <w:sz w:val="12"/>
              </w:rPr>
            </w:pPr>
          </w:p>
        </w:tc>
        <w:tc>
          <w:tcPr>
            <w:tcW w:w="10214" w:type="dxa"/>
            <w:tcBorders>
              <w:right w:val="nil"/>
            </w:tcBorders>
          </w:tcPr>
          <w:p>
            <w:pPr>
              <w:pStyle w:val="TableParagraph"/>
              <w:rPr>
                <w:rFonts w:ascii="Times New Roman"/>
                <w:sz w:val="12"/>
              </w:rPr>
            </w:pPr>
          </w:p>
        </w:tc>
      </w:tr>
      <w:tr>
        <w:trPr>
          <w:trHeight w:val="593" w:hRule="atLeast"/>
        </w:trPr>
        <w:tc>
          <w:tcPr>
            <w:tcW w:w="1427" w:type="dxa"/>
            <w:tcBorders>
              <w:left w:val="nil"/>
            </w:tcBorders>
          </w:tcPr>
          <w:p>
            <w:pPr>
              <w:pStyle w:val="TableParagraph"/>
              <w:spacing w:before="91"/>
              <w:ind w:left="101"/>
              <w:rPr>
                <w:sz w:val="19"/>
              </w:rPr>
            </w:pPr>
            <w:r>
              <w:rPr>
                <w:color w:val="202020"/>
                <w:sz w:val="19"/>
              </w:rPr>
              <w:t>9902</w:t>
            </w:r>
          </w:p>
        </w:tc>
        <w:tc>
          <w:tcPr>
            <w:tcW w:w="1150" w:type="dxa"/>
          </w:tcPr>
          <w:p>
            <w:pPr>
              <w:pStyle w:val="TableParagraph"/>
              <w:rPr>
                <w:rFonts w:ascii="Times New Roman"/>
                <w:sz w:val="18"/>
              </w:rPr>
            </w:pPr>
          </w:p>
        </w:tc>
        <w:tc>
          <w:tcPr>
            <w:tcW w:w="2029" w:type="dxa"/>
          </w:tcPr>
          <w:p>
            <w:pPr>
              <w:pStyle w:val="TableParagraph"/>
              <w:rPr>
                <w:rFonts w:ascii="Times New Roman"/>
                <w:sz w:val="18"/>
              </w:rPr>
            </w:pPr>
          </w:p>
        </w:tc>
        <w:tc>
          <w:tcPr>
            <w:tcW w:w="771" w:type="dxa"/>
          </w:tcPr>
          <w:p>
            <w:pPr>
              <w:pStyle w:val="TableParagraph"/>
              <w:rPr>
                <w:rFonts w:ascii="Times New Roman"/>
                <w:sz w:val="18"/>
              </w:rPr>
            </w:pPr>
          </w:p>
        </w:tc>
        <w:tc>
          <w:tcPr>
            <w:tcW w:w="10214" w:type="dxa"/>
            <w:tcBorders>
              <w:right w:val="nil"/>
            </w:tcBorders>
          </w:tcPr>
          <w:p>
            <w:pPr>
              <w:pStyle w:val="TableParagraph"/>
              <w:spacing w:before="91"/>
              <w:ind w:left="101"/>
              <w:rPr>
                <w:sz w:val="19"/>
              </w:rPr>
            </w:pPr>
            <w:r>
              <w:rPr>
                <w:color w:val="202020"/>
                <w:sz w:val="19"/>
              </w:rPr>
              <w:t>TEMPORARY TRADE:</w:t>
            </w:r>
          </w:p>
        </w:tc>
      </w:tr>
      <w:tr>
        <w:trPr>
          <w:trHeight w:val="187" w:hRule="atLeast"/>
        </w:trPr>
        <w:tc>
          <w:tcPr>
            <w:tcW w:w="1427" w:type="dxa"/>
            <w:tcBorders>
              <w:left w:val="nil"/>
            </w:tcBorders>
          </w:tcPr>
          <w:p>
            <w:pPr>
              <w:pStyle w:val="TableParagraph"/>
              <w:rPr>
                <w:rFonts w:ascii="Times New Roman"/>
                <w:sz w:val="12"/>
              </w:rPr>
            </w:pPr>
          </w:p>
        </w:tc>
        <w:tc>
          <w:tcPr>
            <w:tcW w:w="1150" w:type="dxa"/>
          </w:tcPr>
          <w:p>
            <w:pPr>
              <w:pStyle w:val="TableParagraph"/>
              <w:rPr>
                <w:rFonts w:ascii="Times New Roman"/>
                <w:sz w:val="12"/>
              </w:rPr>
            </w:pPr>
          </w:p>
        </w:tc>
        <w:tc>
          <w:tcPr>
            <w:tcW w:w="2029" w:type="dxa"/>
          </w:tcPr>
          <w:p>
            <w:pPr>
              <w:pStyle w:val="TableParagraph"/>
              <w:rPr>
                <w:rFonts w:ascii="Times New Roman"/>
                <w:sz w:val="12"/>
              </w:rPr>
            </w:pPr>
          </w:p>
        </w:tc>
        <w:tc>
          <w:tcPr>
            <w:tcW w:w="771" w:type="dxa"/>
          </w:tcPr>
          <w:p>
            <w:pPr>
              <w:pStyle w:val="TableParagraph"/>
              <w:rPr>
                <w:rFonts w:ascii="Times New Roman"/>
                <w:sz w:val="12"/>
              </w:rPr>
            </w:pPr>
          </w:p>
        </w:tc>
        <w:tc>
          <w:tcPr>
            <w:tcW w:w="10214" w:type="dxa"/>
            <w:tcBorders>
              <w:right w:val="nil"/>
            </w:tcBorders>
          </w:tcPr>
          <w:p>
            <w:pPr>
              <w:pStyle w:val="TableParagraph"/>
              <w:rPr>
                <w:rFonts w:ascii="Times New Roman"/>
                <w:sz w:val="12"/>
              </w:rPr>
            </w:pPr>
          </w:p>
        </w:tc>
      </w:tr>
      <w:tr>
        <w:trPr>
          <w:trHeight w:val="593" w:hRule="atLeast"/>
        </w:trPr>
        <w:tc>
          <w:tcPr>
            <w:tcW w:w="1427" w:type="dxa"/>
            <w:tcBorders>
              <w:left w:val="nil"/>
            </w:tcBorders>
          </w:tcPr>
          <w:p>
            <w:pPr>
              <w:pStyle w:val="TableParagraph"/>
              <w:rPr>
                <w:rFonts w:ascii="Times New Roman"/>
                <w:sz w:val="18"/>
              </w:rPr>
            </w:pPr>
          </w:p>
        </w:tc>
        <w:tc>
          <w:tcPr>
            <w:tcW w:w="1150" w:type="dxa"/>
          </w:tcPr>
          <w:p>
            <w:pPr>
              <w:pStyle w:val="TableParagraph"/>
              <w:spacing w:before="91"/>
              <w:ind w:left="79" w:right="75"/>
              <w:jc w:val="center"/>
              <w:rPr>
                <w:sz w:val="19"/>
              </w:rPr>
            </w:pPr>
            <w:r>
              <w:rPr>
                <w:color w:val="202020"/>
                <w:sz w:val="19"/>
              </w:rPr>
              <w:t>9902.20(A)</w:t>
            </w:r>
          </w:p>
        </w:tc>
        <w:tc>
          <w:tcPr>
            <w:tcW w:w="2029" w:type="dxa"/>
          </w:tcPr>
          <w:p>
            <w:pPr>
              <w:pStyle w:val="TableParagraph"/>
              <w:rPr>
                <w:rFonts w:ascii="Times New Roman"/>
                <w:sz w:val="18"/>
              </w:rPr>
            </w:pPr>
          </w:p>
        </w:tc>
        <w:tc>
          <w:tcPr>
            <w:tcW w:w="771" w:type="dxa"/>
          </w:tcPr>
          <w:p>
            <w:pPr>
              <w:pStyle w:val="TableParagraph"/>
              <w:rPr>
                <w:rFonts w:ascii="Times New Roman"/>
                <w:sz w:val="18"/>
              </w:rPr>
            </w:pPr>
          </w:p>
        </w:tc>
        <w:tc>
          <w:tcPr>
            <w:tcW w:w="10214" w:type="dxa"/>
            <w:tcBorders>
              <w:right w:val="nil"/>
            </w:tcBorders>
          </w:tcPr>
          <w:p>
            <w:pPr>
              <w:pStyle w:val="TableParagraph"/>
              <w:spacing w:before="91"/>
              <w:ind w:left="101"/>
              <w:rPr>
                <w:sz w:val="19"/>
              </w:rPr>
            </w:pPr>
            <w:r>
              <w:rPr>
                <w:color w:val="202020"/>
                <w:sz w:val="19"/>
              </w:rPr>
              <w:t>- Goods re-exported, being goods originally imported on a temporary basis:</w:t>
            </w:r>
          </w:p>
        </w:tc>
      </w:tr>
      <w:tr>
        <w:trPr>
          <w:trHeight w:val="715" w:hRule="atLeast"/>
        </w:trPr>
        <w:tc>
          <w:tcPr>
            <w:tcW w:w="1427" w:type="dxa"/>
            <w:tcBorders>
              <w:left w:val="nil"/>
            </w:tcBorders>
          </w:tcPr>
          <w:p>
            <w:pPr>
              <w:pStyle w:val="TableParagraph"/>
              <w:rPr>
                <w:rFonts w:ascii="Times New Roman"/>
                <w:sz w:val="18"/>
              </w:rPr>
            </w:pPr>
          </w:p>
        </w:tc>
        <w:tc>
          <w:tcPr>
            <w:tcW w:w="1150" w:type="dxa"/>
          </w:tcPr>
          <w:p>
            <w:pPr>
              <w:pStyle w:val="TableParagraph"/>
              <w:rPr>
                <w:rFonts w:ascii="Times New Roman"/>
                <w:sz w:val="18"/>
              </w:rPr>
            </w:pPr>
          </w:p>
        </w:tc>
        <w:tc>
          <w:tcPr>
            <w:tcW w:w="2029" w:type="dxa"/>
          </w:tcPr>
          <w:p>
            <w:pPr>
              <w:pStyle w:val="TableParagraph"/>
              <w:spacing w:before="91"/>
              <w:ind w:left="100"/>
              <w:rPr>
                <w:sz w:val="19"/>
              </w:rPr>
            </w:pPr>
            <w:r>
              <w:rPr>
                <w:color w:val="202020"/>
                <w:sz w:val="19"/>
              </w:rPr>
              <w:t>9902.20.05</w:t>
            </w:r>
          </w:p>
        </w:tc>
        <w:tc>
          <w:tcPr>
            <w:tcW w:w="771" w:type="dxa"/>
          </w:tcPr>
          <w:p>
            <w:pPr>
              <w:pStyle w:val="TableParagraph"/>
              <w:spacing w:before="91"/>
              <w:ind w:left="101"/>
              <w:rPr>
                <w:sz w:val="19"/>
              </w:rPr>
            </w:pPr>
            <w:r>
              <w:rPr>
                <w:color w:val="202020"/>
                <w:sz w:val="19"/>
              </w:rPr>
              <w:t>NR</w:t>
            </w:r>
          </w:p>
        </w:tc>
        <w:tc>
          <w:tcPr>
            <w:tcW w:w="10214" w:type="dxa"/>
            <w:tcBorders>
              <w:right w:val="nil"/>
            </w:tcBorders>
          </w:tcPr>
          <w:p>
            <w:pPr>
              <w:pStyle w:val="TableParagraph"/>
              <w:spacing w:before="105"/>
              <w:ind w:left="101"/>
              <w:rPr>
                <w:sz w:val="19"/>
              </w:rPr>
            </w:pPr>
            <w:r>
              <w:rPr>
                <w:color w:val="202020"/>
                <w:sz w:val="19"/>
              </w:rPr>
              <w:t>- - Goods used in, or for purposes related to, the Sydney 2000 Olympic and Paralympic Games and associated events</w:t>
            </w:r>
          </w:p>
        </w:tc>
      </w:tr>
      <w:tr>
        <w:trPr>
          <w:trHeight w:val="715" w:hRule="atLeast"/>
        </w:trPr>
        <w:tc>
          <w:tcPr>
            <w:tcW w:w="1427" w:type="dxa"/>
            <w:tcBorders>
              <w:left w:val="nil"/>
            </w:tcBorders>
          </w:tcPr>
          <w:p>
            <w:pPr>
              <w:pStyle w:val="TableParagraph"/>
              <w:rPr>
                <w:rFonts w:ascii="Times New Roman"/>
                <w:sz w:val="18"/>
              </w:rPr>
            </w:pPr>
          </w:p>
        </w:tc>
        <w:tc>
          <w:tcPr>
            <w:tcW w:w="1150" w:type="dxa"/>
          </w:tcPr>
          <w:p>
            <w:pPr>
              <w:pStyle w:val="TableParagraph"/>
              <w:rPr>
                <w:rFonts w:ascii="Times New Roman"/>
                <w:sz w:val="18"/>
              </w:rPr>
            </w:pPr>
          </w:p>
        </w:tc>
        <w:tc>
          <w:tcPr>
            <w:tcW w:w="2029" w:type="dxa"/>
          </w:tcPr>
          <w:p>
            <w:pPr>
              <w:pStyle w:val="TableParagraph"/>
              <w:spacing w:before="91"/>
              <w:ind w:left="100"/>
              <w:rPr>
                <w:sz w:val="19"/>
              </w:rPr>
            </w:pPr>
            <w:r>
              <w:rPr>
                <w:color w:val="202020"/>
                <w:sz w:val="19"/>
              </w:rPr>
              <w:t>9902.20.12</w:t>
            </w:r>
          </w:p>
        </w:tc>
        <w:tc>
          <w:tcPr>
            <w:tcW w:w="771" w:type="dxa"/>
          </w:tcPr>
          <w:p>
            <w:pPr>
              <w:pStyle w:val="TableParagraph"/>
              <w:spacing w:before="91"/>
              <w:ind w:left="101"/>
              <w:rPr>
                <w:sz w:val="19"/>
              </w:rPr>
            </w:pPr>
            <w:r>
              <w:rPr>
                <w:color w:val="202020"/>
                <w:sz w:val="19"/>
              </w:rPr>
              <w:t>NR</w:t>
            </w:r>
          </w:p>
        </w:tc>
        <w:tc>
          <w:tcPr>
            <w:tcW w:w="10214" w:type="dxa"/>
            <w:tcBorders>
              <w:right w:val="nil"/>
            </w:tcBorders>
          </w:tcPr>
          <w:p>
            <w:pPr>
              <w:pStyle w:val="TableParagraph"/>
              <w:spacing w:before="105"/>
              <w:ind w:left="101"/>
              <w:rPr>
                <w:sz w:val="19"/>
              </w:rPr>
            </w:pPr>
            <w:r>
              <w:rPr>
                <w:color w:val="202020"/>
                <w:sz w:val="19"/>
              </w:rPr>
              <w:t>- - Cargo (loaded on vessel or towed)</w:t>
            </w:r>
          </w:p>
        </w:tc>
      </w:tr>
      <w:tr>
        <w:trPr>
          <w:trHeight w:val="593" w:hRule="atLeast"/>
        </w:trPr>
        <w:tc>
          <w:tcPr>
            <w:tcW w:w="1427" w:type="dxa"/>
            <w:tcBorders>
              <w:left w:val="nil"/>
            </w:tcBorders>
          </w:tcPr>
          <w:p>
            <w:pPr>
              <w:pStyle w:val="TableParagraph"/>
              <w:rPr>
                <w:rFonts w:ascii="Times New Roman"/>
                <w:sz w:val="18"/>
              </w:rPr>
            </w:pPr>
          </w:p>
        </w:tc>
        <w:tc>
          <w:tcPr>
            <w:tcW w:w="1150" w:type="dxa"/>
          </w:tcPr>
          <w:p>
            <w:pPr>
              <w:pStyle w:val="TableParagraph"/>
              <w:rPr>
                <w:rFonts w:ascii="Times New Roman"/>
                <w:sz w:val="18"/>
              </w:rPr>
            </w:pPr>
          </w:p>
        </w:tc>
        <w:tc>
          <w:tcPr>
            <w:tcW w:w="2029" w:type="dxa"/>
          </w:tcPr>
          <w:p>
            <w:pPr>
              <w:pStyle w:val="TableParagraph"/>
              <w:spacing w:before="91"/>
              <w:ind w:left="100"/>
              <w:rPr>
                <w:sz w:val="19"/>
              </w:rPr>
            </w:pPr>
            <w:r>
              <w:rPr>
                <w:color w:val="202020"/>
                <w:sz w:val="19"/>
              </w:rPr>
              <w:t>9902.20.22</w:t>
            </w:r>
          </w:p>
        </w:tc>
        <w:tc>
          <w:tcPr>
            <w:tcW w:w="771" w:type="dxa"/>
          </w:tcPr>
          <w:p>
            <w:pPr>
              <w:pStyle w:val="TableParagraph"/>
              <w:spacing w:before="91"/>
              <w:ind w:left="101"/>
              <w:rPr>
                <w:sz w:val="19"/>
              </w:rPr>
            </w:pPr>
            <w:r>
              <w:rPr>
                <w:color w:val="202020"/>
                <w:sz w:val="19"/>
              </w:rPr>
              <w:t>NR</w:t>
            </w:r>
          </w:p>
        </w:tc>
        <w:tc>
          <w:tcPr>
            <w:tcW w:w="10214" w:type="dxa"/>
            <w:tcBorders>
              <w:right w:val="nil"/>
            </w:tcBorders>
          </w:tcPr>
          <w:p>
            <w:pPr>
              <w:pStyle w:val="TableParagraph"/>
              <w:spacing w:before="91"/>
              <w:ind w:left="101"/>
              <w:rPr>
                <w:sz w:val="19"/>
              </w:rPr>
            </w:pPr>
            <w:r>
              <w:rPr>
                <w:color w:val="202020"/>
                <w:sz w:val="19"/>
              </w:rPr>
              <w:t>- - Non-cargo (under own power)</w:t>
            </w:r>
          </w:p>
        </w:tc>
      </w:tr>
    </w:tbl>
    <w:p>
      <w:pPr>
        <w:pStyle w:val="BodyText"/>
        <w:spacing w:before="10"/>
        <w:rPr>
          <w:sz w:val="23"/>
        </w:rPr>
      </w:pPr>
    </w:p>
    <w:p>
      <w:pPr>
        <w:pStyle w:val="Heading1"/>
        <w:spacing w:before="1"/>
        <w:ind w:left="108" w:firstLine="0"/>
      </w:pPr>
      <w:r>
        <w:rPr>
          <w:color w:val="202020"/>
        </w:rPr>
        <w:t>Section 162A/Regulation 125A (Olympic Provisions)</w:t>
      </w:r>
    </w:p>
    <w:p>
      <w:pPr>
        <w:pStyle w:val="BodyText"/>
        <w:rPr>
          <w:b/>
          <w:sz w:val="26"/>
        </w:rPr>
      </w:pPr>
    </w:p>
    <w:p>
      <w:pPr>
        <w:pStyle w:val="BodyText"/>
        <w:spacing w:line="237" w:lineRule="auto" w:before="150"/>
        <w:ind w:left="108" w:right="230"/>
      </w:pPr>
      <w:r>
        <w:rPr>
          <w:b/>
        </w:rPr>
        <w:t>Electronic/documentary lodgement </w:t>
      </w:r>
      <w:r>
        <w:rPr/>
        <w:t>- goods admitted under Section 162A/Regulation 125A by quoting Supplementary Item 111A and treatment code 353 will require an application to export the goods.</w:t>
      </w:r>
    </w:p>
    <w:p>
      <w:pPr>
        <w:pStyle w:val="BodyText"/>
        <w:spacing w:before="4"/>
        <w:rPr>
          <w:sz w:val="16"/>
        </w:rPr>
      </w:pPr>
    </w:p>
    <w:p>
      <w:pPr>
        <w:spacing w:line="446" w:lineRule="auto" w:before="0"/>
        <w:ind w:left="108" w:right="5541" w:firstLine="0"/>
        <w:jc w:val="left"/>
        <w:rPr>
          <w:b/>
          <w:sz w:val="19"/>
        </w:rPr>
      </w:pPr>
      <w:r>
        <w:rPr>
          <w:b/>
          <w:sz w:val="19"/>
        </w:rPr>
        <w:t>Manual lodgement (Form 46A) </w:t>
      </w:r>
      <w:r>
        <w:rPr>
          <w:sz w:val="19"/>
        </w:rPr>
        <w:t>- goods admitted using Form 46A will require an application to export the goods. </w:t>
      </w:r>
      <w:r>
        <w:rPr>
          <w:b/>
          <w:sz w:val="19"/>
        </w:rPr>
        <w:t>Section 162A/Regulation 125 (eligible goods arriving without carnet)</w:t>
      </w:r>
    </w:p>
    <w:p>
      <w:pPr>
        <w:spacing w:line="446" w:lineRule="auto" w:before="0"/>
        <w:ind w:left="108" w:right="166" w:firstLine="0"/>
        <w:jc w:val="left"/>
        <w:rPr>
          <w:sz w:val="19"/>
        </w:rPr>
      </w:pPr>
      <w:r>
        <w:rPr>
          <w:b/>
          <w:sz w:val="19"/>
        </w:rPr>
        <w:t>Electronic/documentary lodgement </w:t>
      </w:r>
      <w:r>
        <w:rPr>
          <w:sz w:val="19"/>
        </w:rPr>
        <w:t>- goods admitted under Section 162A by quoting Supplementary Item 111A and treatment code 354 will require an application to export the goods. </w:t>
      </w:r>
      <w:r>
        <w:rPr>
          <w:b/>
          <w:sz w:val="19"/>
        </w:rPr>
        <w:t>Manual lodgement (Form 46AA) </w:t>
      </w:r>
      <w:r>
        <w:rPr>
          <w:sz w:val="19"/>
        </w:rPr>
        <w:t>- goods admitted using Form 46AA will require an application to export the goods.</w:t>
      </w:r>
    </w:p>
    <w:p>
      <w:pPr>
        <w:pStyle w:val="Heading1"/>
        <w:spacing w:before="86"/>
        <w:ind w:left="108" w:firstLine="0"/>
      </w:pPr>
      <w:r>
        <w:rPr>
          <w:color w:val="202020"/>
        </w:rPr>
        <w:t>Section 162A/Regulation 125 (Carnets)</w:t>
      </w:r>
    </w:p>
    <w:p>
      <w:pPr>
        <w:pStyle w:val="BodyText"/>
        <w:rPr>
          <w:b/>
          <w:sz w:val="26"/>
        </w:rPr>
      </w:pPr>
    </w:p>
    <w:p>
      <w:pPr>
        <w:pStyle w:val="BodyText"/>
        <w:spacing w:line="237" w:lineRule="auto" w:before="150"/>
        <w:ind w:left="108" w:right="873"/>
      </w:pPr>
      <w:r>
        <w:rPr/>
        <w:t>Goods arriving under carnet do not require an application to export the goods. The only reporting required on re-export is where goods are exported as cargo. In such cases, the manifest should include exempt code EX5 - "Goods Temporarily Imported Under Section 162A". The carnet number should also be quoted on the line details.</w:t>
      </w:r>
    </w:p>
    <w:p>
      <w:pPr>
        <w:pStyle w:val="BodyText"/>
        <w:spacing w:before="4"/>
        <w:rPr>
          <w:sz w:val="16"/>
        </w:rPr>
      </w:pPr>
    </w:p>
    <w:p>
      <w:pPr>
        <w:pStyle w:val="BodyText"/>
        <w:spacing w:line="446" w:lineRule="auto"/>
        <w:ind w:left="108" w:right="1857"/>
      </w:pPr>
      <w:r>
        <w:rPr/>
        <w:t>Exempt code EX 5 can only be quoted for goods falling within the Customs Conventions allowing for duty free temporary importation into Australia, using carnet. Where goods covered by a carnet are carried as accompanied baggage no manifest reporting is required.</w:t>
      </w:r>
    </w:p>
    <w:p>
      <w:pPr>
        <w:spacing w:after="0" w:line="446" w:lineRule="auto"/>
        <w:sectPr>
          <w:pgSz w:w="16840" w:h="11900" w:orient="landscape"/>
          <w:pgMar w:top="500" w:bottom="280" w:left="580" w:right="440"/>
        </w:sectPr>
      </w:pPr>
    </w:p>
    <w:p>
      <w:pPr>
        <w:pStyle w:val="Heading1"/>
        <w:spacing w:before="72"/>
        <w:ind w:left="108" w:firstLine="0"/>
      </w:pPr>
      <w:r>
        <w:rPr>
          <w:color w:val="202020"/>
        </w:rPr>
        <w:t>Section 162/Regulation 124</w:t>
      </w:r>
    </w:p>
    <w:p>
      <w:pPr>
        <w:pStyle w:val="BodyText"/>
        <w:spacing w:before="10"/>
        <w:rPr>
          <w:b/>
          <w:sz w:val="38"/>
        </w:rPr>
      </w:pPr>
    </w:p>
    <w:p>
      <w:pPr>
        <w:spacing w:before="0"/>
        <w:ind w:left="108" w:right="0" w:firstLine="0"/>
        <w:jc w:val="left"/>
        <w:rPr>
          <w:sz w:val="19"/>
        </w:rPr>
      </w:pPr>
      <w:r>
        <w:rPr>
          <w:b/>
          <w:sz w:val="19"/>
        </w:rPr>
        <w:t>Electronic/documentary lodgement </w:t>
      </w:r>
      <w:r>
        <w:rPr>
          <w:sz w:val="19"/>
        </w:rPr>
        <w:t>- goods admitted under Section 162 by quoting Supplementary Item 111 and treatment codes 351 or 352 will require an export entry.</w:t>
      </w:r>
    </w:p>
    <w:p>
      <w:pPr>
        <w:pStyle w:val="BodyText"/>
        <w:spacing w:before="5"/>
        <w:rPr>
          <w:sz w:val="16"/>
        </w:rPr>
      </w:pPr>
    </w:p>
    <w:p>
      <w:pPr>
        <w:pStyle w:val="BodyText"/>
        <w:spacing w:line="237" w:lineRule="auto"/>
        <w:ind w:left="108" w:right="213"/>
      </w:pPr>
      <w:r>
        <w:rPr>
          <w:b/>
        </w:rPr>
        <w:t>Manual lodgement (Form 46) </w:t>
      </w:r>
      <w:r>
        <w:rPr/>
        <w:t>- goods admitted using "Application for Permission to Take Delivery of Goods Upon Giving a Security or Undertaking for the Payment of Duty" (Form 46 - applicable to Section 162/Regulation 124 goods only), do not require an export entry. This procedure will not change for Olympic related goods.</w:t>
      </w:r>
    </w:p>
    <w:p>
      <w:pPr>
        <w:pStyle w:val="BodyText"/>
        <w:rPr>
          <w:sz w:val="24"/>
        </w:rPr>
      </w:pPr>
    </w:p>
    <w:p>
      <w:pPr>
        <w:pStyle w:val="Heading1"/>
        <w:numPr>
          <w:ilvl w:val="0"/>
          <w:numId w:val="1"/>
        </w:numPr>
        <w:tabs>
          <w:tab w:pos="379" w:val="left" w:leader="none"/>
        </w:tabs>
        <w:spacing w:line="240" w:lineRule="auto" w:before="1" w:after="0"/>
        <w:ind w:left="378" w:right="0" w:hanging="271"/>
        <w:jc w:val="left"/>
      </w:pPr>
      <w:r>
        <w:rPr>
          <w:color w:val="202020"/>
        </w:rPr>
        <w:t>COMMUNITY PROTECTION</w:t>
      </w:r>
    </w:p>
    <w:p>
      <w:pPr>
        <w:pStyle w:val="BodyText"/>
        <w:spacing w:before="10"/>
        <w:rPr>
          <w:b/>
          <w:sz w:val="38"/>
        </w:rPr>
      </w:pPr>
    </w:p>
    <w:p>
      <w:pPr>
        <w:pStyle w:val="BodyText"/>
        <w:ind w:left="108"/>
      </w:pPr>
      <w:r>
        <w:rPr/>
        <w:t>Standard provisions covering prohibitions and restrictions, including quarantine, will apply to any temporarily admitted goods.</w:t>
      </w:r>
    </w:p>
    <w:p>
      <w:pPr>
        <w:pStyle w:val="BodyText"/>
        <w:spacing w:before="11"/>
        <w:rPr>
          <w:sz w:val="23"/>
        </w:rPr>
      </w:pPr>
    </w:p>
    <w:p>
      <w:pPr>
        <w:pStyle w:val="Heading1"/>
        <w:numPr>
          <w:ilvl w:val="0"/>
          <w:numId w:val="1"/>
        </w:numPr>
        <w:tabs>
          <w:tab w:pos="379" w:val="left" w:leader="none"/>
        </w:tabs>
        <w:spacing w:line="240" w:lineRule="auto" w:before="0" w:after="0"/>
        <w:ind w:left="378" w:right="0" w:hanging="271"/>
        <w:jc w:val="left"/>
      </w:pPr>
      <w:r>
        <w:rPr>
          <w:color w:val="202020"/>
          <w:spacing w:val="-3"/>
        </w:rPr>
        <w:t>CONTACT</w:t>
      </w:r>
      <w:r>
        <w:rPr>
          <w:color w:val="202020"/>
        </w:rPr>
        <w:t> </w:t>
      </w:r>
      <w:r>
        <w:rPr>
          <w:color w:val="202020"/>
          <w:spacing w:val="-3"/>
        </w:rPr>
        <w:t>DETAILS</w:t>
      </w:r>
    </w:p>
    <w:p>
      <w:pPr>
        <w:pStyle w:val="BodyText"/>
        <w:spacing w:before="10"/>
        <w:rPr>
          <w:b/>
          <w:sz w:val="38"/>
        </w:rPr>
      </w:pPr>
    </w:p>
    <w:p>
      <w:pPr>
        <w:pStyle w:val="BodyText"/>
        <w:spacing w:line="446" w:lineRule="auto" w:before="1"/>
        <w:ind w:left="108" w:right="1857"/>
      </w:pPr>
      <w:r>
        <w:rPr/>
        <w:t>Please refer any initial queries to the Securities Officer in the port of import. Matters unable to be resolved at regional level will be referred to Customs Central Office. COMPILE queries may be directed to User Liaison in the port of import.</w:t>
      </w:r>
    </w:p>
    <w:p>
      <w:pPr>
        <w:pStyle w:val="BodyText"/>
        <w:spacing w:line="446" w:lineRule="auto"/>
        <w:ind w:left="108" w:right="11718"/>
      </w:pPr>
      <w:r>
        <w:rPr/>
        <w:t>Import/Export Management Branch Canberra 18 November 1999</w:t>
      </w:r>
    </w:p>
    <w:p>
      <w:pPr>
        <w:pStyle w:val="BodyText"/>
        <w:spacing w:line="217" w:lineRule="exact"/>
        <w:ind w:left="108"/>
      </w:pPr>
      <w:r>
        <w:rPr/>
        <w:t>C99/02460</w:t>
      </w:r>
    </w:p>
    <w:sectPr>
      <w:pgSz w:w="16840" w:h="11900" w:orient="landscape"/>
      <w:pgMar w:top="540" w:bottom="280" w:left="5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707" w:hanging="140"/>
      </w:pPr>
      <w:rPr>
        <w:rFonts w:hint="default" w:ascii="Georgia" w:hAnsi="Georgia" w:eastAsia="Georgia" w:cs="Georgia"/>
        <w:i/>
        <w:color w:val="585858"/>
        <w:w w:val="103"/>
        <w:sz w:val="22"/>
        <w:szCs w:val="22"/>
      </w:rPr>
    </w:lvl>
    <w:lvl w:ilvl="1">
      <w:start w:val="0"/>
      <w:numFmt w:val="bullet"/>
      <w:lvlText w:val="•"/>
      <w:lvlJc w:val="left"/>
      <w:pPr>
        <w:ind w:left="2212" w:hanging="140"/>
      </w:pPr>
      <w:rPr>
        <w:rFonts w:hint="default"/>
      </w:rPr>
    </w:lvl>
    <w:lvl w:ilvl="2">
      <w:start w:val="0"/>
      <w:numFmt w:val="bullet"/>
      <w:lvlText w:val="•"/>
      <w:lvlJc w:val="left"/>
      <w:pPr>
        <w:ind w:left="3724" w:hanging="140"/>
      </w:pPr>
      <w:rPr>
        <w:rFonts w:hint="default"/>
      </w:rPr>
    </w:lvl>
    <w:lvl w:ilvl="3">
      <w:start w:val="0"/>
      <w:numFmt w:val="bullet"/>
      <w:lvlText w:val="•"/>
      <w:lvlJc w:val="left"/>
      <w:pPr>
        <w:ind w:left="5236" w:hanging="140"/>
      </w:pPr>
      <w:rPr>
        <w:rFonts w:hint="default"/>
      </w:rPr>
    </w:lvl>
    <w:lvl w:ilvl="4">
      <w:start w:val="0"/>
      <w:numFmt w:val="bullet"/>
      <w:lvlText w:val="•"/>
      <w:lvlJc w:val="left"/>
      <w:pPr>
        <w:ind w:left="6748" w:hanging="140"/>
      </w:pPr>
      <w:rPr>
        <w:rFonts w:hint="default"/>
      </w:rPr>
    </w:lvl>
    <w:lvl w:ilvl="5">
      <w:start w:val="0"/>
      <w:numFmt w:val="bullet"/>
      <w:lvlText w:val="•"/>
      <w:lvlJc w:val="left"/>
      <w:pPr>
        <w:ind w:left="8260" w:hanging="140"/>
      </w:pPr>
      <w:rPr>
        <w:rFonts w:hint="default"/>
      </w:rPr>
    </w:lvl>
    <w:lvl w:ilvl="6">
      <w:start w:val="0"/>
      <w:numFmt w:val="bullet"/>
      <w:lvlText w:val="•"/>
      <w:lvlJc w:val="left"/>
      <w:pPr>
        <w:ind w:left="9772" w:hanging="140"/>
      </w:pPr>
      <w:rPr>
        <w:rFonts w:hint="default"/>
      </w:rPr>
    </w:lvl>
    <w:lvl w:ilvl="7">
      <w:start w:val="0"/>
      <w:numFmt w:val="bullet"/>
      <w:lvlText w:val="•"/>
      <w:lvlJc w:val="left"/>
      <w:pPr>
        <w:ind w:left="11284" w:hanging="140"/>
      </w:pPr>
      <w:rPr>
        <w:rFonts w:hint="default"/>
      </w:rPr>
    </w:lvl>
    <w:lvl w:ilvl="8">
      <w:start w:val="0"/>
      <w:numFmt w:val="bullet"/>
      <w:lvlText w:val="•"/>
      <w:lvlJc w:val="left"/>
      <w:pPr>
        <w:ind w:left="12796" w:hanging="140"/>
      </w:pPr>
      <w:rPr>
        <w:rFonts w:hint="default"/>
      </w:rPr>
    </w:lvl>
  </w:abstractNum>
  <w:abstractNum w:abstractNumId="0">
    <w:multiLevelType w:val="hybridMultilevel"/>
    <w:lvl w:ilvl="0">
      <w:start w:val="1"/>
      <w:numFmt w:val="decimal"/>
      <w:lvlText w:val="%1."/>
      <w:lvlJc w:val="left"/>
      <w:pPr>
        <w:ind w:left="378" w:hanging="271"/>
        <w:jc w:val="left"/>
      </w:pPr>
      <w:rPr>
        <w:rFonts w:hint="default" w:ascii="Arial" w:hAnsi="Arial" w:eastAsia="Arial" w:cs="Arial"/>
        <w:b/>
        <w:bCs/>
        <w:color w:val="202020"/>
        <w:w w:val="101"/>
        <w:sz w:val="24"/>
        <w:szCs w:val="24"/>
      </w:rPr>
    </w:lvl>
    <w:lvl w:ilvl="1">
      <w:start w:val="0"/>
      <w:numFmt w:val="bullet"/>
      <w:lvlText w:val="•"/>
      <w:lvlJc w:val="left"/>
      <w:pPr>
        <w:ind w:left="1924" w:hanging="271"/>
      </w:pPr>
      <w:rPr>
        <w:rFonts w:hint="default"/>
      </w:rPr>
    </w:lvl>
    <w:lvl w:ilvl="2">
      <w:start w:val="0"/>
      <w:numFmt w:val="bullet"/>
      <w:lvlText w:val="•"/>
      <w:lvlJc w:val="left"/>
      <w:pPr>
        <w:ind w:left="3468" w:hanging="271"/>
      </w:pPr>
      <w:rPr>
        <w:rFonts w:hint="default"/>
      </w:rPr>
    </w:lvl>
    <w:lvl w:ilvl="3">
      <w:start w:val="0"/>
      <w:numFmt w:val="bullet"/>
      <w:lvlText w:val="•"/>
      <w:lvlJc w:val="left"/>
      <w:pPr>
        <w:ind w:left="5012" w:hanging="271"/>
      </w:pPr>
      <w:rPr>
        <w:rFonts w:hint="default"/>
      </w:rPr>
    </w:lvl>
    <w:lvl w:ilvl="4">
      <w:start w:val="0"/>
      <w:numFmt w:val="bullet"/>
      <w:lvlText w:val="•"/>
      <w:lvlJc w:val="left"/>
      <w:pPr>
        <w:ind w:left="6556" w:hanging="271"/>
      </w:pPr>
      <w:rPr>
        <w:rFonts w:hint="default"/>
      </w:rPr>
    </w:lvl>
    <w:lvl w:ilvl="5">
      <w:start w:val="0"/>
      <w:numFmt w:val="bullet"/>
      <w:lvlText w:val="•"/>
      <w:lvlJc w:val="left"/>
      <w:pPr>
        <w:ind w:left="8100" w:hanging="271"/>
      </w:pPr>
      <w:rPr>
        <w:rFonts w:hint="default"/>
      </w:rPr>
    </w:lvl>
    <w:lvl w:ilvl="6">
      <w:start w:val="0"/>
      <w:numFmt w:val="bullet"/>
      <w:lvlText w:val="•"/>
      <w:lvlJc w:val="left"/>
      <w:pPr>
        <w:ind w:left="9644" w:hanging="271"/>
      </w:pPr>
      <w:rPr>
        <w:rFonts w:hint="default"/>
      </w:rPr>
    </w:lvl>
    <w:lvl w:ilvl="7">
      <w:start w:val="0"/>
      <w:numFmt w:val="bullet"/>
      <w:lvlText w:val="•"/>
      <w:lvlJc w:val="left"/>
      <w:pPr>
        <w:ind w:left="11188" w:hanging="271"/>
      </w:pPr>
      <w:rPr>
        <w:rFonts w:hint="default"/>
      </w:rPr>
    </w:lvl>
    <w:lvl w:ilvl="8">
      <w:start w:val="0"/>
      <w:numFmt w:val="bullet"/>
      <w:lvlText w:val="•"/>
      <w:lvlJc w:val="left"/>
      <w:pPr>
        <w:ind w:left="12732" w:hanging="27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378" w:hanging="271"/>
      <w:outlineLvl w:val="1"/>
    </w:pPr>
    <w:rPr>
      <w:rFonts w:ascii="Arial" w:hAnsi="Arial" w:eastAsia="Arial" w:cs="Arial"/>
      <w:b/>
      <w:bCs/>
      <w:sz w:val="24"/>
      <w:szCs w:val="24"/>
    </w:rPr>
  </w:style>
  <w:style w:styleId="Heading2" w:type="paragraph">
    <w:name w:val="Heading 2"/>
    <w:basedOn w:val="Normal"/>
    <w:uiPriority w:val="1"/>
    <w:qFormat/>
    <w:pPr>
      <w:ind w:left="108"/>
      <w:outlineLvl w:val="2"/>
    </w:pPr>
    <w:rPr>
      <w:rFonts w:ascii="Arial" w:hAnsi="Arial" w:eastAsia="Arial" w:cs="Arial"/>
      <w:b/>
      <w:bCs/>
      <w:sz w:val="19"/>
      <w:szCs w:val="19"/>
    </w:rPr>
  </w:style>
  <w:style w:styleId="Title" w:type="paragraph">
    <w:name w:val="Title"/>
    <w:basedOn w:val="Normal"/>
    <w:uiPriority w:val="1"/>
    <w:qFormat/>
    <w:pPr>
      <w:spacing w:before="70"/>
      <w:ind w:left="108"/>
    </w:pPr>
    <w:rPr>
      <w:rFonts w:ascii="Arial" w:hAnsi="Arial" w:eastAsia="Arial" w:cs="Arial"/>
      <w:b/>
      <w:bCs/>
      <w:sz w:val="41"/>
      <w:szCs w:val="41"/>
    </w:rPr>
  </w:style>
  <w:style w:styleId="ListParagraph" w:type="paragraph">
    <w:name w:val="List Paragraph"/>
    <w:basedOn w:val="Normal"/>
    <w:uiPriority w:val="1"/>
    <w:qFormat/>
    <w:pPr>
      <w:ind w:left="707" w:hanging="141"/>
    </w:pPr>
    <w:rPr>
      <w:rFonts w:ascii="Georgia" w:hAnsi="Georgia" w:eastAsia="Georgia" w:cs="Georgia"/>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2020-12-09T22:58:08Z</dcterms:created>
  <dcterms:modified xsi:type="dcterms:W3CDTF">2020-12-09T22:58:08Z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