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71</w:t>
      </w:r>
    </w:p>
    <w:p>
      <w:pPr>
        <w:spacing w:line="312" w:lineRule="auto" w:before="390"/>
        <w:ind w:left="100" w:right="61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8.2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9.798878pt;width:3pt;height:183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pStyle w:val="BodyText"/>
        <w:rPr>
          <w:sz w:val="22"/>
        </w:rPr>
      </w:pPr>
    </w:p>
    <w:p>
      <w:pPr>
        <w:spacing w:line="232" w:lineRule="auto" w:before="186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JPS Holdings Australia Pty Ltd 6 Short Street FREMANTLE WA 6160</w:t>
      </w:r>
    </w:p>
    <w:p>
      <w:pPr>
        <w:spacing w:before="291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  <w:u w:val="thick" w:color="585858"/>
        </w:rPr>
        <w:t>Person in Authority</w:t>
      </w:r>
    </w:p>
    <w:p>
      <w:pPr>
        <w:spacing w:line="444" w:lineRule="auto" w:before="289"/>
        <w:ind w:left="1209" w:right="4064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John Kenneth GENONI, WA </w:t>
      </w:r>
      <w:r>
        <w:rPr>
          <w:rFonts w:ascii="Georgia"/>
          <w:i/>
          <w:color w:val="585858"/>
          <w:sz w:val="30"/>
          <w:u w:val="thick" w:color="585858"/>
        </w:rPr>
        <w:t>Nominee</w:t>
      </w:r>
    </w:p>
    <w:p>
      <w:pPr>
        <w:pStyle w:val="Heading1"/>
      </w:pPr>
      <w:r>
        <w:rPr>
          <w:color w:val="585858"/>
        </w:rPr>
        <w:t>P M THOMAS, licence no. 1077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09"/>
        <w:ind w:left="100" w:right="711"/>
      </w:pPr>
      <w:r>
        <w:rPr/>
        <w:pict>
          <v:rect style="position:absolute;margin-left:47.75pt;margin-top:34.548878pt;width:3pt;height:91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298878pt;width:3pt;height:56.2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</w:pPr>
      <w:r>
        <w:rPr>
          <w:color w:val="585858"/>
        </w:rPr>
        <w:t>Customs Brokers Licensing Group Australian Customs Service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19 November 1999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100" w:right="1417"/>
      </w:pPr>
      <w:r>
        <w:rPr/>
        <w:t>P G Burns National Manager Import/Export Management Branch for Chief Executive Officer 19 October 1999</w:t>
      </w:r>
    </w:p>
    <w:sectPr>
      <w:type w:val="continuous"/>
      <w:pgSz w:w="11900" w:h="16840"/>
      <w:pgMar w:top="700" w:bottom="280" w:left="6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4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2020-12-09T22:38:47Z</dcterms:created>
  <dcterms:modified xsi:type="dcterms:W3CDTF">2020-12-09T22:38:47Z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