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2000 08</w:t>
      </w:r>
    </w:p>
    <w:p>
      <w:pPr>
        <w:spacing w:line="312" w:lineRule="auto" w:before="390"/>
        <w:ind w:left="100" w:right="0" w:firstLine="0"/>
        <w:jc w:val="left"/>
        <w:rPr>
          <w:b/>
          <w:sz w:val="36"/>
        </w:rPr>
      </w:pPr>
      <w:r>
        <w:rPr>
          <w:b/>
          <w:color w:val="202020"/>
          <w:sz w:val="36"/>
        </w:rPr>
        <w:t>CUSTOMS ACT 1901 - PART XVB REVIEW OF NON- INJURIOUS PRICES FOR CLEAR FLOAT GLASS FROM THE PEOPLE`S REPUBLIC OF CHINA, THE PHILIPPINES AND THAILAND</w:t>
      </w:r>
    </w:p>
    <w:p>
      <w:pPr>
        <w:pStyle w:val="BodyText"/>
        <w:spacing w:before="163"/>
        <w:ind w:right="2002"/>
      </w:pPr>
      <w:r>
        <w:rPr/>
        <w:t>The Australian Customs Service will review the level of the non-injurious free-on board prices (NIFOBs) in respect of clear float glass (CFG) exported to Australia from the</w:t>
      </w:r>
    </w:p>
    <w:p>
      <w:pPr>
        <w:pStyle w:val="BodyText"/>
        <w:spacing w:line="237" w:lineRule="auto"/>
      </w:pPr>
      <w:r>
        <w:rPr/>
        <w:t>People's Republic of China (China), the Philippines and Thailand. This review was initiated at the request of the Minister. It will be run in conjunction with the anti-dumping investigation presently under way into CFG exported to Australia from Indonesia.</w:t>
      </w:r>
    </w:p>
    <w:p>
      <w:pPr>
        <w:pStyle w:val="BodyText"/>
        <w:ind w:left="0"/>
        <w:rPr>
          <w:sz w:val="22"/>
        </w:rPr>
      </w:pPr>
    </w:p>
    <w:p>
      <w:pPr>
        <w:pStyle w:val="BodyText"/>
        <w:spacing w:before="197"/>
        <w:ind w:right="464"/>
        <w:jc w:val="both"/>
      </w:pPr>
      <w:r>
        <w:rPr/>
        <w:t>NIFOBs for CFG exported from China, the Philippines and Thailand are based on selling prices in Australia of CFG exported from Indonesia (see Trade Measures Report No.6,which can be found on the internet at </w:t>
      </w:r>
      <w:r>
        <w:rPr>
          <w:color w:val="0F64C7"/>
          <w:spacing w:val="-3"/>
        </w:rPr>
        <w:t>Report </w:t>
      </w:r>
      <w:r>
        <w:rPr>
          <w:color w:val="0F64C7"/>
        </w:rPr>
        <w:t>06</w:t>
      </w:r>
      <w:r>
        <w:rPr/>
        <w:t>.)</w:t>
      </w:r>
    </w:p>
    <w:p>
      <w:pPr>
        <w:pStyle w:val="BodyText"/>
        <w:spacing w:line="237" w:lineRule="auto"/>
        <w:ind w:right="87"/>
      </w:pPr>
      <w:r>
        <w:rPr/>
        <w:t>The current NIFOBs applying to CFG were thus set on the assumption that CFG exported from Indonesia was not dumped. If, as a result of the current anti-dumping investigation, exports of Indonesian CFG to Australia are found to have been dumped, Customs will review the method for setting the NIFOBs for China, the Philippines and Thailand.</w:t>
      </w:r>
    </w:p>
    <w:p>
      <w:pPr>
        <w:pStyle w:val="BodyText"/>
        <w:spacing w:before="2"/>
        <w:ind w:left="0"/>
        <w:rPr>
          <w:sz w:val="18"/>
        </w:rPr>
      </w:pPr>
    </w:p>
    <w:p>
      <w:pPr>
        <w:pStyle w:val="BodyText"/>
        <w:ind w:right="338"/>
        <w:jc w:val="both"/>
      </w:pPr>
      <w:r>
        <w:rPr/>
        <w:t>A notice advising initiation of this review was published in the </w:t>
      </w:r>
      <w:r>
        <w:rPr>
          <w:i/>
        </w:rPr>
        <w:t>AustralianFinancial Review </w:t>
      </w:r>
      <w:r>
        <w:rPr/>
        <w:t>on 11 February 2000. Interested parties are invited to lodge submissions in response to that notice no later than the close of business on Thursday 2 March 2000.</w:t>
      </w:r>
    </w:p>
    <w:p>
      <w:pPr>
        <w:pStyle w:val="BodyText"/>
        <w:ind w:left="0"/>
        <w:rPr>
          <w:sz w:val="22"/>
        </w:rPr>
      </w:pPr>
    </w:p>
    <w:p>
      <w:pPr>
        <w:pStyle w:val="BodyText"/>
        <w:spacing w:before="193"/>
        <w:jc w:val="both"/>
      </w:pPr>
      <w:r>
        <w:rPr/>
        <w:pict>
          <v:rect style="position:absolute;margin-left:47.75pt;margin-top:21.748877pt;width:3pt;height:119.25pt;mso-position-horizontal-relative:page;mso-position-vertical-relative:paragraph;z-index:15728640" filled="true" fillcolor="#003366" stroked="false">
            <v:fill type="solid"/>
            <w10:wrap type="none"/>
          </v:rect>
        </w:pict>
      </w:r>
      <w:r>
        <w:rPr/>
        <w:t>Parties should address their submission to:</w:t>
      </w:r>
    </w:p>
    <w:p>
      <w:pPr>
        <w:spacing w:before="191"/>
        <w:ind w:left="609" w:right="0" w:firstLine="0"/>
        <w:jc w:val="left"/>
        <w:rPr>
          <w:rFonts w:ascii="Georgia"/>
          <w:i/>
          <w:sz w:val="25"/>
        </w:rPr>
      </w:pPr>
      <w:r>
        <w:rPr>
          <w:rFonts w:ascii="Georgia"/>
          <w:i/>
          <w:color w:val="585858"/>
          <w:sz w:val="25"/>
        </w:rPr>
        <w:t>The Director</w:t>
      </w:r>
    </w:p>
    <w:p>
      <w:pPr>
        <w:spacing w:before="1"/>
        <w:ind w:left="609" w:right="6922" w:firstLine="0"/>
        <w:jc w:val="left"/>
        <w:rPr>
          <w:rFonts w:ascii="Georgia"/>
          <w:i/>
          <w:sz w:val="25"/>
        </w:rPr>
      </w:pPr>
      <w:r>
        <w:rPr>
          <w:rFonts w:ascii="Georgia"/>
          <w:i/>
          <w:color w:val="585858"/>
          <w:sz w:val="25"/>
        </w:rPr>
        <w:t>Dumping Operations 3 Trade Measures Branch Australian Customs Service Customs House</w:t>
      </w:r>
    </w:p>
    <w:p>
      <w:pPr>
        <w:spacing w:before="4"/>
        <w:ind w:left="609" w:right="0" w:firstLine="0"/>
        <w:jc w:val="left"/>
        <w:rPr>
          <w:rFonts w:ascii="Georgia"/>
          <w:i/>
          <w:sz w:val="25"/>
        </w:rPr>
      </w:pPr>
      <w:r>
        <w:rPr>
          <w:rFonts w:ascii="Georgia"/>
          <w:i/>
          <w:color w:val="585858"/>
          <w:sz w:val="25"/>
        </w:rPr>
        <w:t>5 Constitution Avenue</w:t>
      </w:r>
    </w:p>
    <w:p>
      <w:pPr>
        <w:spacing w:before="1"/>
        <w:ind w:left="609" w:right="0" w:firstLine="0"/>
        <w:jc w:val="left"/>
        <w:rPr>
          <w:rFonts w:ascii="Georgia"/>
          <w:i/>
          <w:sz w:val="25"/>
        </w:rPr>
      </w:pPr>
      <w:r>
        <w:rPr>
          <w:rFonts w:ascii="Georgia"/>
          <w:i/>
          <w:color w:val="585858"/>
          <w:sz w:val="25"/>
        </w:rPr>
        <w:t>CANBERRA ACT 2601</w:t>
      </w:r>
    </w:p>
    <w:p>
      <w:pPr>
        <w:pStyle w:val="BodyText"/>
        <w:ind w:left="0"/>
        <w:rPr>
          <w:rFonts w:ascii="Georgia"/>
          <w:i/>
          <w:sz w:val="28"/>
        </w:rPr>
      </w:pPr>
    </w:p>
    <w:p>
      <w:pPr>
        <w:pStyle w:val="BodyText"/>
        <w:ind w:left="0"/>
        <w:rPr>
          <w:rFonts w:ascii="Georgia"/>
          <w:i/>
          <w:sz w:val="28"/>
        </w:rPr>
      </w:pPr>
    </w:p>
    <w:p>
      <w:pPr>
        <w:pStyle w:val="BodyText"/>
        <w:spacing w:before="5"/>
        <w:ind w:left="0"/>
        <w:rPr>
          <w:rFonts w:ascii="Georgia"/>
          <w:i/>
          <w:sz w:val="23"/>
        </w:rPr>
      </w:pPr>
    </w:p>
    <w:p>
      <w:pPr>
        <w:pStyle w:val="BodyText"/>
        <w:ind w:right="88"/>
      </w:pPr>
      <w:r>
        <w:rPr/>
        <w:t>Interested parties wishing to participate in the investigation must ensure that submissions are lodged promptly. Submissions lodged in confidence must be clearly marked 'confidential'. In addition, a non-confidential copy of the submission must be provided.</w:t>
      </w:r>
    </w:p>
    <w:p>
      <w:pPr>
        <w:pStyle w:val="BodyText"/>
        <w:spacing w:before="10"/>
        <w:ind w:left="0"/>
        <w:rPr>
          <w:sz w:val="17"/>
        </w:rPr>
      </w:pPr>
    </w:p>
    <w:p>
      <w:pPr>
        <w:pStyle w:val="BodyText"/>
        <w:ind w:right="280"/>
        <w:jc w:val="both"/>
      </w:pPr>
      <w:r>
        <w:rPr/>
        <w:pict>
          <v:rect style="position:absolute;margin-left:47.75pt;margin-top:24.098877pt;width:3pt;height:91.5pt;mso-position-horizontal-relative:page;mso-position-vertical-relative:paragraph;z-index:15729152" filled="true" fillcolor="#003366" stroked="false">
            <v:fill type="solid"/>
            <w10:wrap type="none"/>
          </v:rect>
        </w:pict>
      </w:r>
      <w:r>
        <w:rPr/>
        <w:t>Non-confidential submissions, and a copy of relevant correspondence between Customs and other persons, will be made available to interested parties through the public record. The public record may be examined at:</w:t>
      </w:r>
    </w:p>
    <w:p>
      <w:pPr>
        <w:spacing w:before="190"/>
        <w:ind w:left="609" w:right="0" w:firstLine="0"/>
        <w:jc w:val="left"/>
        <w:rPr>
          <w:rFonts w:ascii="Georgia"/>
          <w:i/>
          <w:sz w:val="25"/>
        </w:rPr>
      </w:pPr>
      <w:r>
        <w:rPr>
          <w:rFonts w:ascii="Georgia"/>
          <w:i/>
          <w:color w:val="585858"/>
          <w:sz w:val="25"/>
        </w:rPr>
        <w:t>Trade</w:t>
      </w:r>
    </w:p>
    <w:p>
      <w:pPr>
        <w:spacing w:before="1"/>
        <w:ind w:left="609" w:right="8161" w:firstLine="0"/>
        <w:jc w:val="left"/>
        <w:rPr>
          <w:rFonts w:ascii="Georgia"/>
          <w:i/>
          <w:sz w:val="25"/>
        </w:rPr>
      </w:pPr>
      <w:r>
        <w:rPr>
          <w:rFonts w:ascii="Georgia"/>
          <w:i/>
          <w:color w:val="585858"/>
          <w:sz w:val="25"/>
        </w:rPr>
        <w:t>Measures Branch Customs House</w:t>
      </w:r>
    </w:p>
    <w:p>
      <w:pPr>
        <w:spacing w:before="2"/>
        <w:ind w:left="609" w:right="0" w:firstLine="0"/>
        <w:jc w:val="left"/>
        <w:rPr>
          <w:rFonts w:ascii="Georgia"/>
          <w:i/>
          <w:sz w:val="25"/>
        </w:rPr>
      </w:pPr>
      <w:r>
        <w:rPr>
          <w:rFonts w:ascii="Georgia"/>
          <w:i/>
          <w:color w:val="585858"/>
          <w:sz w:val="25"/>
        </w:rPr>
        <w:t>5 Constitution Avenue</w:t>
      </w:r>
    </w:p>
    <w:p>
      <w:pPr>
        <w:spacing w:before="1"/>
        <w:ind w:left="609" w:right="0" w:firstLine="0"/>
        <w:jc w:val="left"/>
        <w:rPr>
          <w:rFonts w:ascii="Georgia"/>
          <w:i/>
          <w:sz w:val="25"/>
        </w:rPr>
      </w:pPr>
      <w:r>
        <w:rPr>
          <w:rFonts w:ascii="Georgia"/>
          <w:i/>
          <w:color w:val="585858"/>
          <w:sz w:val="25"/>
        </w:rPr>
        <w:t>CANBERRA ACT 2601</w:t>
      </w:r>
    </w:p>
    <w:p>
      <w:pPr>
        <w:pStyle w:val="BodyText"/>
        <w:ind w:left="0"/>
        <w:rPr>
          <w:rFonts w:ascii="Georgia"/>
          <w:i/>
          <w:sz w:val="28"/>
        </w:rPr>
      </w:pPr>
    </w:p>
    <w:p>
      <w:pPr>
        <w:pStyle w:val="BodyText"/>
        <w:ind w:left="0"/>
        <w:rPr>
          <w:rFonts w:ascii="Georgia"/>
          <w:i/>
          <w:sz w:val="28"/>
        </w:rPr>
      </w:pPr>
    </w:p>
    <w:p>
      <w:pPr>
        <w:pStyle w:val="BodyText"/>
        <w:spacing w:before="5"/>
        <w:ind w:left="0"/>
        <w:rPr>
          <w:rFonts w:ascii="Georgia"/>
          <w:i/>
          <w:sz w:val="23"/>
        </w:rPr>
      </w:pPr>
    </w:p>
    <w:p>
      <w:pPr>
        <w:pStyle w:val="BodyText"/>
        <w:spacing w:before="1"/>
        <w:jc w:val="both"/>
      </w:pPr>
      <w:r>
        <w:rPr/>
        <w:t>To access the public record, contact Mr Phil Hilyard on telephone (02) 6275 6057.</w:t>
      </w:r>
    </w:p>
    <w:p>
      <w:pPr>
        <w:spacing w:after="0"/>
        <w:jc w:val="both"/>
        <w:sectPr>
          <w:type w:val="continuous"/>
          <w:pgSz w:w="11900" w:h="16840"/>
          <w:pgMar w:top="700" w:bottom="280" w:left="600" w:right="540"/>
        </w:sectPr>
      </w:pPr>
    </w:p>
    <w:p>
      <w:pPr>
        <w:pStyle w:val="BodyText"/>
        <w:spacing w:before="68"/>
        <w:ind w:right="286"/>
      </w:pPr>
      <w:r>
        <w:rPr/>
        <w:t>A statement of essential facts on which the Customs proposes to base a recommendation to the Minister will be placed on the public record by 27 March 2000. The statement will set out the material findings of fact on which Customs intends to base its recommendation to the Minister. That statement will invite interested parties to respond, within 20 days, to the issues raised therein.</w:t>
      </w:r>
    </w:p>
    <w:p>
      <w:pPr>
        <w:pStyle w:val="BodyText"/>
        <w:spacing w:before="8"/>
        <w:ind w:left="0"/>
        <w:rPr>
          <w:sz w:val="17"/>
        </w:rPr>
      </w:pPr>
    </w:p>
    <w:p>
      <w:pPr>
        <w:pStyle w:val="BodyText"/>
      </w:pPr>
      <w:r>
        <w:rPr/>
        <w:t>Submissions received in response to the statement will be taken into account in compiling the report and recommendation to the Minister. The report to the Minister is due on 10 May 2000, 45 days after the statement of essential facts is issued.</w:t>
      </w:r>
    </w:p>
    <w:p>
      <w:pPr>
        <w:pStyle w:val="BodyText"/>
        <w:spacing w:before="10"/>
        <w:ind w:left="0"/>
        <w:rPr>
          <w:sz w:val="17"/>
        </w:rPr>
      </w:pPr>
    </w:p>
    <w:p>
      <w:pPr>
        <w:pStyle w:val="BodyText"/>
        <w:spacing w:line="241" w:lineRule="exact"/>
      </w:pPr>
      <w:r>
        <w:rPr/>
        <w:t>Enquires</w:t>
      </w:r>
    </w:p>
    <w:p>
      <w:pPr>
        <w:pStyle w:val="BodyText"/>
        <w:ind w:right="3838"/>
      </w:pPr>
      <w:r>
        <w:rPr/>
        <w:t>about this notice should be directed to Tom Van Sebille, on telephone (02) 6275 6065, fax (02) 6275 6990.</w:t>
      </w:r>
    </w:p>
    <w:p>
      <w:pPr>
        <w:pStyle w:val="BodyText"/>
        <w:ind w:left="0"/>
        <w:rPr>
          <w:sz w:val="18"/>
        </w:rPr>
      </w:pPr>
    </w:p>
    <w:p>
      <w:pPr>
        <w:pStyle w:val="BodyText"/>
        <w:ind w:right="8982"/>
      </w:pPr>
      <w:r>
        <w:rPr/>
        <w:t>Paul O'Connor National Manager</w:t>
      </w:r>
    </w:p>
    <w:p>
      <w:pPr>
        <w:pStyle w:val="BodyText"/>
        <w:spacing w:line="237" w:lineRule="auto"/>
        <w:ind w:right="8182"/>
      </w:pPr>
      <w:r>
        <w:rPr/>
        <w:t>Trade Measures Branch for Chief Executive Officer CANBERRA ACT 2601</w:t>
      </w:r>
    </w:p>
    <w:p>
      <w:pPr>
        <w:pStyle w:val="BodyText"/>
        <w:ind w:left="0"/>
        <w:rPr>
          <w:sz w:val="22"/>
        </w:rPr>
      </w:pPr>
    </w:p>
    <w:p>
      <w:pPr>
        <w:pStyle w:val="BodyText"/>
        <w:spacing w:before="197"/>
      </w:pPr>
      <w:r>
        <w:rPr/>
        <w:t>8 February 2000</w:t>
      </w:r>
    </w:p>
    <w:sectPr>
      <w:pgSz w:w="11900" w:h="16840"/>
      <w:pgMar w:top="96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2020-12-09T22:47:06Z</dcterms:created>
  <dcterms:modified xsi:type="dcterms:W3CDTF">2020-12-09T22:47:06Z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