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09</w:t>
      </w:r>
    </w:p>
    <w:p>
      <w:pPr>
        <w:spacing w:line="312" w:lineRule="auto" w:before="390"/>
        <w:ind w:left="100" w:right="199" w:firstLine="0"/>
        <w:jc w:val="left"/>
        <w:rPr>
          <w:b/>
          <w:sz w:val="36"/>
        </w:rPr>
      </w:pPr>
      <w:r>
        <w:rPr>
          <w:b/>
          <w:color w:val="202020"/>
          <w:sz w:val="36"/>
        </w:rPr>
        <w:t>NOTICES OF OBJECTION TO IMPORTATION TRADE MARKS ACT 1995</w:t>
      </w:r>
    </w:p>
    <w:p>
      <w:pPr>
        <w:pStyle w:val="BodyText"/>
        <w:spacing w:line="241" w:lineRule="exact" w:before="159"/>
        <w:ind w:left="100"/>
      </w:pPr>
      <w:r>
        <w:rPr/>
        <w:t>The companies referred to in the Schedule of </w:t>
      </w:r>
      <w:hyperlink r:id="rId5">
        <w:r>
          <w:rPr>
            <w:color w:val="0F64C7"/>
          </w:rPr>
          <w:t>Notices of Objection</w:t>
        </w:r>
      </w:hyperlink>
      <w:r>
        <w:rPr/>
        <w:t>, have given notice under Section 132 of</w:t>
      </w:r>
    </w:p>
    <w:p>
      <w:pPr>
        <w:pStyle w:val="BodyText"/>
        <w:ind w:left="100"/>
      </w:pPr>
      <w:r>
        <w:rPr/>
        <w:t>the </w:t>
      </w:r>
      <w:r>
        <w:rPr>
          <w:i/>
        </w:rPr>
        <w:t>Trade Marks Act 1995 </w:t>
      </w:r>
      <w:r>
        <w:rPr/>
        <w:t>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8"/>
        <w:rPr>
          <w:sz w:val="17"/>
        </w:rPr>
      </w:pPr>
    </w:p>
    <w:p>
      <w:pPr>
        <w:pStyle w:val="BodyText"/>
        <w:ind w:left="100" w:right="20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64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rPr>
          <w:sz w:val="17"/>
        </w:rPr>
      </w:pPr>
    </w:p>
    <w:p>
      <w:pPr>
        <w:pStyle w:val="ListParagraph"/>
        <w:numPr>
          <w:ilvl w:val="0"/>
          <w:numId w:val="1"/>
        </w:numPr>
        <w:tabs>
          <w:tab w:pos="229" w:val="left" w:leader="none"/>
        </w:tabs>
        <w:spacing w:line="240" w:lineRule="auto" w:before="0" w:after="0"/>
        <w:ind w:left="228" w:right="0" w:hanging="129"/>
        <w:jc w:val="left"/>
        <w:rPr>
          <w:sz w:val="21"/>
        </w:rPr>
      </w:pPr>
      <w:r>
        <w:rPr>
          <w:sz w:val="21"/>
        </w:rPr>
        <w:t>the goods are being imported otherwise than for the purposes of trade (sale, lease, hire, etc.); or</w:t>
      </w:r>
    </w:p>
    <w:p>
      <w:pPr>
        <w:pStyle w:val="BodyText"/>
        <w:spacing w:before="1"/>
        <w:rPr>
          <w:sz w:val="18"/>
        </w:rPr>
      </w:pPr>
    </w:p>
    <w:p>
      <w:pPr>
        <w:pStyle w:val="ListParagraph"/>
        <w:numPr>
          <w:ilvl w:val="0"/>
          <w:numId w:val="1"/>
        </w:numPr>
        <w:tabs>
          <w:tab w:pos="229" w:val="left" w:leader="none"/>
        </w:tabs>
        <w:spacing w:line="240" w:lineRule="auto" w:before="1" w:after="0"/>
        <w:ind w:left="228" w:right="0" w:hanging="129"/>
        <w:jc w:val="left"/>
        <w:rPr>
          <w:sz w:val="21"/>
        </w:rPr>
      </w:pPr>
      <w:r>
        <w:rPr>
          <w:sz w:val="21"/>
        </w:rPr>
        <w:t>the goods do not infringe the relevant trade mark.</w:t>
      </w:r>
    </w:p>
    <w:p>
      <w:pPr>
        <w:pStyle w:val="BodyText"/>
        <w:spacing w:before="1"/>
        <w:rPr>
          <w:sz w:val="18"/>
        </w:rPr>
      </w:pPr>
    </w:p>
    <w:p>
      <w:pPr>
        <w:pStyle w:val="BodyText"/>
        <w:ind w:left="100"/>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10"/>
        <w:rPr>
          <w:sz w:val="17"/>
        </w:rPr>
      </w:pPr>
    </w:p>
    <w:p>
      <w:pPr>
        <w:pStyle w:val="BodyText"/>
        <w:ind w:left="100" w:right="93"/>
      </w:pPr>
      <w:r>
        <w:rPr/>
        <w:t>People who have been planning commitments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9"/>
        <w:rPr>
          <w:sz w:val="17"/>
        </w:rPr>
      </w:pPr>
    </w:p>
    <w:p>
      <w:pPr>
        <w:pStyle w:val="BodyText"/>
        <w:ind w:left="100" w:right="93"/>
      </w:pPr>
      <w:r>
        <w:rPr/>
        <w:t>The trade mark owner's contact particulars have been included in the Schedule to assist importers who may wish to initiate negotiations regarding use of the trade marks in question.</w:t>
      </w:r>
    </w:p>
    <w:p>
      <w:pPr>
        <w:pStyle w:val="BodyText"/>
        <w:rPr>
          <w:sz w:val="18"/>
        </w:rPr>
      </w:pPr>
    </w:p>
    <w:p>
      <w:pPr>
        <w:pStyle w:val="BodyText"/>
        <w:ind w:left="100" w:right="9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w:t>
      </w:r>
    </w:p>
    <w:p>
      <w:pPr>
        <w:pStyle w:val="BodyText"/>
        <w:spacing w:before="8"/>
        <w:rPr>
          <w:sz w:val="17"/>
        </w:rPr>
      </w:pPr>
    </w:p>
    <w:p>
      <w:pPr>
        <w:pStyle w:val="BodyText"/>
        <w:spacing w:line="446" w:lineRule="auto"/>
        <w:ind w:left="100" w:right="646"/>
      </w:pPr>
      <w:r>
        <w:rPr/>
        <w:t>(P GULBRANSEN) National Manager Import/Export Management Branch for Chief Executive Officer February 2000</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8" w:hanging="129"/>
      </w:pPr>
      <w:rPr>
        <w:rFonts w:hint="default" w:ascii="Arial" w:hAnsi="Arial" w:eastAsia="Arial" w:cs="Arial"/>
        <w:w w:val="100"/>
        <w:sz w:val="21"/>
        <w:szCs w:val="21"/>
      </w:rPr>
    </w:lvl>
    <w:lvl w:ilvl="1">
      <w:start w:val="0"/>
      <w:numFmt w:val="bullet"/>
      <w:lvlText w:val="•"/>
      <w:lvlJc w:val="left"/>
      <w:pPr>
        <w:ind w:left="1268" w:hanging="129"/>
      </w:pPr>
      <w:rPr>
        <w:rFonts w:hint="default"/>
      </w:rPr>
    </w:lvl>
    <w:lvl w:ilvl="2">
      <w:start w:val="0"/>
      <w:numFmt w:val="bullet"/>
      <w:lvlText w:val="•"/>
      <w:lvlJc w:val="left"/>
      <w:pPr>
        <w:ind w:left="2316" w:hanging="129"/>
      </w:pPr>
      <w:rPr>
        <w:rFonts w:hint="default"/>
      </w:rPr>
    </w:lvl>
    <w:lvl w:ilvl="3">
      <w:start w:val="0"/>
      <w:numFmt w:val="bullet"/>
      <w:lvlText w:val="•"/>
      <w:lvlJc w:val="left"/>
      <w:pPr>
        <w:ind w:left="3364" w:hanging="129"/>
      </w:pPr>
      <w:rPr>
        <w:rFonts w:hint="default"/>
      </w:rPr>
    </w:lvl>
    <w:lvl w:ilvl="4">
      <w:start w:val="0"/>
      <w:numFmt w:val="bullet"/>
      <w:lvlText w:val="•"/>
      <w:lvlJc w:val="left"/>
      <w:pPr>
        <w:ind w:left="4412" w:hanging="129"/>
      </w:pPr>
      <w:rPr>
        <w:rFonts w:hint="default"/>
      </w:rPr>
    </w:lvl>
    <w:lvl w:ilvl="5">
      <w:start w:val="0"/>
      <w:numFmt w:val="bullet"/>
      <w:lvlText w:val="•"/>
      <w:lvlJc w:val="left"/>
      <w:pPr>
        <w:ind w:left="5460" w:hanging="129"/>
      </w:pPr>
      <w:rPr>
        <w:rFonts w:hint="default"/>
      </w:rPr>
    </w:lvl>
    <w:lvl w:ilvl="6">
      <w:start w:val="0"/>
      <w:numFmt w:val="bullet"/>
      <w:lvlText w:val="•"/>
      <w:lvlJc w:val="left"/>
      <w:pPr>
        <w:ind w:left="6508" w:hanging="129"/>
      </w:pPr>
      <w:rPr>
        <w:rFonts w:hint="default"/>
      </w:rPr>
    </w:lvl>
    <w:lvl w:ilvl="7">
      <w:start w:val="0"/>
      <w:numFmt w:val="bullet"/>
      <w:lvlText w:val="•"/>
      <w:lvlJc w:val="left"/>
      <w:pPr>
        <w:ind w:left="7556" w:hanging="129"/>
      </w:pPr>
      <w:rPr>
        <w:rFonts w:hint="default"/>
      </w:rPr>
    </w:lvl>
    <w:lvl w:ilvl="8">
      <w:start w:val="0"/>
      <w:numFmt w:val="bullet"/>
      <w:lvlText w:val="•"/>
      <w:lvlJc w:val="left"/>
      <w:pPr>
        <w:ind w:left="8604" w:hanging="12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228" w:hanging="12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2000-09a"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2020-12-09T22:48:21Z</dcterms:created>
  <dcterms:modified xsi:type="dcterms:W3CDTF">2020-12-09T22:48:21Z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