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46</w:t>
      </w:r>
    </w:p>
    <w:p>
      <w:pPr>
        <w:spacing w:line="312" w:lineRule="auto" w:before="390"/>
        <w:ind w:left="100" w:right="44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IMPLEMENTATION OF GST RATES OF DUTY FOR PETROL AND DIESEL FUEL CUSTOMS TARIFF PROPOSAL NO.4 (2000)</w:t>
      </w:r>
    </w:p>
    <w:p>
      <w:pPr>
        <w:pStyle w:val="BodyText"/>
        <w:spacing w:before="161"/>
      </w:pPr>
      <w:r>
        <w:rPr/>
        <w:t>Customs Tariff Proposal No. 4 (2000), which was tabled in the House of Representatives on 29 June 2000, gives effect to new rates of customs duty for petrol, diesel fuel and other petroleum products from 1 July 2000. The Proposal reduces the rate of duty for leaded petrol from $0.46381/L to $0.39725/L. For all other petroleum products and chemicals previously dutiable at $0.44137/L, the rate is reduced to $0.37481/L.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Complementary reductions in the excise rates of duty were tabled concurrently in Parliament in Excise Tariff Proposal No. 3 (2000).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446" w:lineRule="auto"/>
        <w:ind w:right="3261"/>
      </w:pPr>
      <w:r>
        <w:rPr/>
        <w:t>Customs tariff reprint pages issued in conjunction with this change are: Chapter 27/3 (R.11), R.27/5 (R.13), 27/7 (R.8), 29/7 (R.6) and 38/7 (R.6).</w:t>
      </w:r>
    </w:p>
    <w:p>
      <w:pPr>
        <w:pStyle w:val="BodyText"/>
        <w:spacing w:before="2"/>
      </w:pPr>
      <w:r>
        <w:rPr/>
        <w:t>Any queries relating to this Proposal should be directed to Ray Banvill on (02) 6275 6516.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ind w:right="8882"/>
      </w:pPr>
      <w:r>
        <w:rPr/>
        <w:t>Debbie Bates National Manager Tariff</w:t>
      </w:r>
    </w:p>
    <w:p>
      <w:pPr>
        <w:pStyle w:val="BodyText"/>
        <w:spacing w:line="236" w:lineRule="exact"/>
      </w:pPr>
      <w:r>
        <w:rPr/>
        <w:t>for</w:t>
      </w:r>
    </w:p>
    <w:p>
      <w:pPr>
        <w:pStyle w:val="BodyText"/>
        <w:spacing w:line="477" w:lineRule="auto"/>
        <w:ind w:right="7977"/>
      </w:pPr>
      <w:r>
        <w:rPr/>
        <w:t>the Chief Executive Officer 6 July 2000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2020-12-09T22:15:20Z</dcterms:created>
  <dcterms:modified xsi:type="dcterms:W3CDTF">2020-12-09T22:15:20Z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