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49</w:t>
      </w:r>
    </w:p>
    <w:p>
      <w:pPr>
        <w:spacing w:before="357"/>
        <w:ind w:left="108" w:right="0" w:firstLine="0"/>
        <w:jc w:val="left"/>
        <w:rPr>
          <w:b/>
          <w:sz w:val="32"/>
        </w:rPr>
      </w:pPr>
      <w:r>
        <w:rPr>
          <w:b/>
          <w:color w:val="202020"/>
          <w:sz w:val="32"/>
        </w:rPr>
        <w:t>STATE OF ORIGIN FOR EXPORTS</w:t>
      </w:r>
    </w:p>
    <w:p>
      <w:pPr>
        <w:pStyle w:val="Heading1"/>
        <w:spacing w:before="254"/>
      </w:pPr>
      <w:r>
        <w:rPr/>
        <w:t>Purpose</w:t>
      </w:r>
    </w:p>
    <w:p>
      <w:pPr>
        <w:pStyle w:val="BodyText"/>
        <w:spacing w:before="9"/>
        <w:rPr>
          <w:b/>
          <w:sz w:val="18"/>
        </w:rPr>
      </w:pPr>
    </w:p>
    <w:p>
      <w:pPr>
        <w:pStyle w:val="BodyText"/>
        <w:spacing w:line="237" w:lineRule="auto" w:before="1"/>
        <w:ind w:left="108" w:right="749"/>
      </w:pPr>
      <w:r>
        <w:rPr/>
        <w:t>The purpose of this Australian Customs Notice (ACN) is to seek assistance from exporters to improve the State of origin information reported for Australian exports. Additionally, it provides information on how State of origin should be determined.</w:t>
      </w:r>
    </w:p>
    <w:p>
      <w:pPr>
        <w:pStyle w:val="BodyText"/>
        <w:spacing w:before="7"/>
        <w:rPr>
          <w:sz w:val="18"/>
        </w:rPr>
      </w:pPr>
    </w:p>
    <w:p>
      <w:pPr>
        <w:pStyle w:val="Heading1"/>
        <w:spacing w:before="1"/>
      </w:pPr>
      <w:r>
        <w:rPr/>
        <w:t>Background</w:t>
      </w:r>
    </w:p>
    <w:p>
      <w:pPr>
        <w:pStyle w:val="BodyText"/>
        <w:spacing w:before="9"/>
        <w:rPr>
          <w:b/>
          <w:sz w:val="18"/>
        </w:rPr>
      </w:pPr>
    </w:p>
    <w:p>
      <w:pPr>
        <w:pStyle w:val="BodyText"/>
        <w:spacing w:line="237" w:lineRule="auto"/>
        <w:ind w:left="108" w:right="389"/>
      </w:pPr>
      <w:r>
        <w:rPr/>
        <w:t>The Australian Bureau of Statistics (ABS) is undertaking a bilateral reconciliation study with New Zealand, using import and export statistics for 1998. An objective of such studies is to identify and correct any data quality problems. This study has identified substantial misreporting of State of origin in Australian export statistics.</w:t>
      </w:r>
    </w:p>
    <w:p>
      <w:pPr>
        <w:pStyle w:val="BodyText"/>
        <w:spacing w:before="8"/>
        <w:rPr>
          <w:sz w:val="18"/>
        </w:rPr>
      </w:pPr>
    </w:p>
    <w:p>
      <w:pPr>
        <w:pStyle w:val="BodyText"/>
        <w:ind w:left="108"/>
      </w:pPr>
      <w:r>
        <w:rPr/>
        <w:t>As an example, Australian exports (including re-exports) to New Zealand for the Australian Harmonised Export Commodity Classification (AHECC) item</w:t>
      </w:r>
    </w:p>
    <w:p>
      <w:pPr>
        <w:pStyle w:val="BodyText"/>
        <w:spacing w:before="9"/>
        <w:rPr>
          <w:sz w:val="18"/>
        </w:rPr>
      </w:pPr>
    </w:p>
    <w:p>
      <w:pPr>
        <w:pStyle w:val="BodyText"/>
        <w:spacing w:line="237" w:lineRule="auto"/>
        <w:ind w:left="108" w:right="188"/>
      </w:pPr>
      <w:r>
        <w:rPr/>
        <w:t>84733001 were worth $A275 million, with $A64 million worth of these manufactured in Australia. New Zealand imports of these goods from Australia recorded only $A12 million of goods manufactured in Australia. Most of the discrepancy is due to misreporting of State of origin on Australian export entries.</w:t>
      </w:r>
    </w:p>
    <w:p>
      <w:pPr>
        <w:pStyle w:val="BodyText"/>
        <w:spacing w:before="8"/>
        <w:rPr>
          <w:sz w:val="18"/>
        </w:rPr>
      </w:pPr>
    </w:p>
    <w:p>
      <w:pPr>
        <w:pStyle w:val="Heading1"/>
      </w:pPr>
      <w:r>
        <w:rPr/>
        <w:t>State of Origin</w:t>
      </w:r>
    </w:p>
    <w:p>
      <w:pPr>
        <w:pStyle w:val="BodyText"/>
        <w:spacing w:before="7"/>
        <w:rPr>
          <w:b/>
          <w:sz w:val="18"/>
        </w:rPr>
      </w:pPr>
    </w:p>
    <w:p>
      <w:pPr>
        <w:pStyle w:val="BodyText"/>
        <w:spacing w:line="446" w:lineRule="auto"/>
        <w:ind w:left="108" w:right="6279"/>
      </w:pPr>
      <w:r>
        <w:rPr/>
        <w:t>State of origin is defined as the Australian State in which the final stage of production or manufacture occurs. The State of origin is </w:t>
      </w:r>
      <w:r>
        <w:rPr>
          <w:b/>
        </w:rPr>
        <w:t>NOT </w:t>
      </w:r>
      <w:r>
        <w:rPr/>
        <w:t>simply the State where:</w:t>
      </w:r>
    </w:p>
    <w:p>
      <w:pPr>
        <w:pStyle w:val="BodyText"/>
        <w:spacing w:line="446" w:lineRule="auto"/>
        <w:ind w:left="373" w:right="11770"/>
      </w:pPr>
      <w:r>
        <w:rPr/>
        <w:pict>
          <v:shape style="position:absolute;margin-left:37.793461pt;margin-top:4.852363pt;width:2.75pt;height:2.75pt;mso-position-horizontal-relative:page;mso-position-vertical-relative:paragraph;z-index:15729152" coordorigin="756,97" coordsize="55,55" path="m801,151l765,151,756,142,756,106,765,97,801,97,810,106,810,124,810,142,801,151xe" filled="true" fillcolor="#000000" stroked="false">
            <v:path arrowok="t"/>
            <v:fill type="solid"/>
            <w10:wrap type="none"/>
          </v:shape>
        </w:pict>
      </w:r>
      <w:r>
        <w:rPr/>
        <w:pict>
          <v:shape style="position:absolute;margin-left:37.793461pt;margin-top:25.144962pt;width:2.75pt;height:2.75pt;mso-position-horizontal-relative:page;mso-position-vertical-relative:paragraph;z-index:15729664" coordorigin="756,503" coordsize="55,55" path="m801,557l765,557,756,548,756,512,765,503,801,503,810,512,810,530,810,548,801,557xe" filled="true" fillcolor="#000000" stroked="false">
            <v:path arrowok="t"/>
            <v:fill type="solid"/>
            <w10:wrap type="none"/>
          </v:shape>
        </w:pict>
      </w:r>
      <w:r>
        <w:rPr/>
        <w:t>the head office of the exporter is located; the ECN or entry is lodged:</w:t>
      </w:r>
    </w:p>
    <w:p>
      <w:pPr>
        <w:pStyle w:val="BodyText"/>
        <w:spacing w:line="217" w:lineRule="exact"/>
        <w:ind w:left="373"/>
      </w:pPr>
      <w:r>
        <w:rPr/>
        <w:pict>
          <v:shape style="position:absolute;margin-left:37.793461pt;margin-top:4.800013pt;width:2.75pt;height:2.75pt;mso-position-horizontal-relative:page;mso-position-vertical-relative:paragraph;z-index:15730176" coordorigin="756,96" coordsize="55,55" path="m801,150l765,150,756,141,756,105,765,96,801,96,810,105,810,123,810,141,801,150xe" filled="true" fillcolor="#000000" stroked="false">
            <v:path arrowok="t"/>
            <v:fill type="solid"/>
            <w10:wrap type="none"/>
          </v:shape>
        </w:pict>
      </w:r>
      <w:r>
        <w:rPr/>
        <w:t>the goods were loaded on the international carrier.</w:t>
      </w:r>
    </w:p>
    <w:p>
      <w:pPr>
        <w:pStyle w:val="BodyText"/>
        <w:spacing w:before="3"/>
        <w:rPr>
          <w:sz w:val="16"/>
        </w:rPr>
      </w:pPr>
    </w:p>
    <w:p>
      <w:pPr>
        <w:pStyle w:val="BodyText"/>
        <w:ind w:left="108"/>
      </w:pPr>
      <w:r>
        <w:rPr/>
        <w:t>The following examples help clarify the treatments required:</w:t>
      </w:r>
    </w:p>
    <w:p>
      <w:pPr>
        <w:pStyle w:val="BodyText"/>
        <w:spacing w:before="5"/>
        <w:rPr>
          <w:sz w:val="16"/>
        </w:rPr>
      </w:pPr>
    </w:p>
    <w:p>
      <w:pPr>
        <w:pStyle w:val="BodyText"/>
        <w:spacing w:line="237" w:lineRule="auto"/>
        <w:ind w:left="373" w:right="420"/>
      </w:pPr>
      <w:r>
        <w:rPr/>
        <w:pict>
          <v:shape style="position:absolute;margin-left:37.793461pt;margin-top:4.763256pt;width:2.75pt;height:2.75pt;mso-position-horizontal-relative:page;mso-position-vertical-relative:paragraph;z-index:15730688" coordorigin="756,95" coordsize="55,55" path="m801,149l765,149,756,140,756,104,765,95,801,95,810,104,810,122,810,140,801,149xe" filled="true" fillcolor="#000000" stroked="false">
            <v:path arrowok="t"/>
            <v:fill type="solid"/>
            <w10:wrap type="none"/>
          </v:shape>
        </w:pict>
      </w:r>
      <w:r>
        <w:rPr/>
        <w:t>Re-exports are goods which are imported and re-exported in the same condition as they arrive, or after undergoing repair or minor alteration and should be shown as 'F', indicating goods of foreign origin.</w:t>
      </w:r>
    </w:p>
    <w:p>
      <w:pPr>
        <w:pStyle w:val="BodyText"/>
        <w:spacing w:before="6"/>
        <w:rPr>
          <w:sz w:val="16"/>
        </w:rPr>
      </w:pPr>
    </w:p>
    <w:p>
      <w:pPr>
        <w:pStyle w:val="BodyText"/>
        <w:spacing w:line="237" w:lineRule="auto"/>
        <w:ind w:left="373" w:right="608"/>
      </w:pPr>
      <w:r>
        <w:rPr/>
        <w:pict>
          <v:shape style="position:absolute;margin-left:37.793461pt;margin-top:4.763264pt;width:2.75pt;height:2.75pt;mso-position-horizontal-relative:page;mso-position-vertical-relative:paragraph;z-index:15731200" coordorigin="756,95" coordsize="55,55" path="m801,149l765,149,756,140,756,104,765,95,801,95,810,104,810,122,810,140,801,149xe" filled="true" fillcolor="#000000" stroked="false">
            <v:path arrowok="t"/>
            <v:fill type="solid"/>
            <w10:wrap type="none"/>
          </v:shape>
        </w:pict>
      </w:r>
      <w:r>
        <w:rPr/>
        <w:t>Operations which leave the goods essentially unchanged (for example, repair, blending, packaging, bottling, cleaning, sorting, husking and shelling) should not be considered as stages of production or manufacture.</w:t>
      </w:r>
    </w:p>
    <w:p>
      <w:pPr>
        <w:pStyle w:val="BodyText"/>
        <w:spacing w:before="5"/>
        <w:rPr>
          <w:sz w:val="16"/>
        </w:rPr>
      </w:pPr>
    </w:p>
    <w:p>
      <w:pPr>
        <w:pStyle w:val="BodyText"/>
        <w:spacing w:line="237" w:lineRule="auto"/>
        <w:ind w:left="373" w:right="778"/>
      </w:pPr>
      <w:r>
        <w:rPr/>
        <w:pict>
          <v:shape style="position:absolute;margin-left:37.793461pt;margin-top:4.763265pt;width:2.75pt;height:2.75pt;mso-position-horizontal-relative:page;mso-position-vertical-relative:paragraph;z-index:15731712" coordorigin="756,95" coordsize="55,55" path="m801,149l765,149,756,140,756,104,765,95,801,95,810,104,810,122,810,140,801,149xe" filled="true" fillcolor="#000000" stroked="false">
            <v:path arrowok="t"/>
            <v:fill type="solid"/>
            <w10:wrap type="none"/>
          </v:shape>
        </w:pict>
      </w:r>
      <w:r>
        <w:rPr/>
        <w:t>Goods assembled from parts previously imported from overseas, where the end product does not resemble the component parts, should be attributed to the State in which the assembly took place.</w:t>
      </w:r>
    </w:p>
    <w:p>
      <w:pPr>
        <w:pStyle w:val="BodyText"/>
        <w:spacing w:before="6"/>
        <w:rPr>
          <w:sz w:val="16"/>
        </w:rPr>
      </w:pPr>
    </w:p>
    <w:p>
      <w:pPr>
        <w:pStyle w:val="BodyText"/>
        <w:spacing w:line="237" w:lineRule="auto"/>
        <w:ind w:left="373" w:right="419"/>
      </w:pPr>
      <w:r>
        <w:rPr/>
        <w:pict>
          <v:shape style="position:absolute;margin-left:37.793461pt;margin-top:4.763265pt;width:2.75pt;height:2.75pt;mso-position-horizontal-relative:page;mso-position-vertical-relative:paragraph;z-index:15732224" coordorigin="756,95" coordsize="55,55" path="m801,149l765,149,756,140,756,104,765,95,801,95,810,104,810,122,810,140,801,149xe" filled="true" fillcolor="#000000" stroked="false">
            <v:path arrowok="t"/>
            <v:fill type="solid"/>
            <w10:wrap type="none"/>
          </v:shape>
        </w:pict>
      </w:r>
      <w:r>
        <w:rPr/>
        <w:t>Minerals in ore and concentrate form (for example, iron ore and concentrate) should be attributed to the State in which they were mined. Metals (for example, iron and steel ingots) should be attributed to the State in which they were processed.</w:t>
      </w:r>
    </w:p>
    <w:p>
      <w:pPr>
        <w:pStyle w:val="BodyText"/>
        <w:spacing w:before="4"/>
        <w:rPr>
          <w:sz w:val="16"/>
        </w:rPr>
      </w:pPr>
    </w:p>
    <w:p>
      <w:pPr>
        <w:pStyle w:val="BodyText"/>
        <w:ind w:left="108"/>
      </w:pPr>
      <w:r>
        <w:rPr/>
        <w:t>State of Origin Codes:</w:t>
      </w:r>
    </w:p>
    <w:p>
      <w:pPr>
        <w:pStyle w:val="BodyText"/>
        <w:spacing w:before="1"/>
        <w:rPr>
          <w:sz w:val="13"/>
        </w:rPr>
      </w:pPr>
      <w:r>
        <w:rPr/>
        <w:pict>
          <v:group style="position:absolute;margin-left:34.411362pt;margin-top:9.506618pt;width:779.6pt;height:6.35pt;mso-position-horizontal-relative:page;mso-position-vertical-relative:paragraph;z-index:-15728640;mso-wrap-distance-left:0;mso-wrap-distance-right:0" coordorigin="688,190" coordsize="15592,127">
            <v:rect style="position:absolute;left:688;top:190;width:14;height:127" filled="true" fillcolor="#808080" stroked="false">
              <v:fill type="solid"/>
            </v:rect>
            <v:shape style="position:absolute;left:688;top:190;width:15592;height:127" coordorigin="688,190" coordsize="15592,127" path="m16280,190l7236,190,7222,190,688,190,688,204,7222,204,7222,317,7236,317,7236,204,16280,204,16280,190xe" filled="true" fillcolor="#c8c8c8" stroked="false">
              <v:path arrowok="t"/>
              <v:fill type="solid"/>
            </v:shape>
            <w10:wrap type="topAndBottom"/>
          </v:group>
        </w:pict>
      </w:r>
    </w:p>
    <w:p>
      <w:pPr>
        <w:spacing w:after="0"/>
        <w:rPr>
          <w:sz w:val="13"/>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6534"/>
        <w:gridCol w:w="9051"/>
      </w:tblGrid>
      <w:tr>
        <w:trPr>
          <w:trHeight w:val="310" w:hRule="atLeast"/>
        </w:trPr>
        <w:tc>
          <w:tcPr>
            <w:tcW w:w="6534" w:type="dxa"/>
            <w:tcBorders>
              <w:top w:val="nil"/>
              <w:bottom w:val="single" w:sz="6" w:space="0" w:color="C8C8C8"/>
              <w:right w:val="single" w:sz="6" w:space="0" w:color="C8C8C8"/>
            </w:tcBorders>
          </w:tcPr>
          <w:p>
            <w:pPr>
              <w:pStyle w:val="TableParagraph"/>
              <w:spacing w:line="209" w:lineRule="exact" w:before="0"/>
              <w:rPr>
                <w:sz w:val="19"/>
              </w:rPr>
            </w:pPr>
            <w:r>
              <w:rPr>
                <w:color w:val="202020"/>
                <w:sz w:val="19"/>
              </w:rPr>
              <w:t>N New South Wales</w:t>
            </w:r>
          </w:p>
        </w:tc>
        <w:tc>
          <w:tcPr>
            <w:tcW w:w="9051" w:type="dxa"/>
            <w:tcBorders>
              <w:top w:val="nil"/>
              <w:left w:val="single" w:sz="6" w:space="0" w:color="C8C8C8"/>
              <w:bottom w:val="single" w:sz="6" w:space="0" w:color="C8C8C8"/>
              <w:right w:val="nil"/>
            </w:tcBorders>
          </w:tcPr>
          <w:p>
            <w:pPr>
              <w:pStyle w:val="TableParagraph"/>
              <w:spacing w:line="209" w:lineRule="exact" w:before="0"/>
              <w:rPr>
                <w:sz w:val="19"/>
              </w:rPr>
            </w:pPr>
            <w:r>
              <w:rPr>
                <w:color w:val="202020"/>
                <w:sz w:val="19"/>
              </w:rPr>
              <w:t>W Western Australia</w:t>
            </w:r>
          </w:p>
        </w:tc>
      </w:tr>
      <w:tr>
        <w:trPr>
          <w:trHeight w:val="404" w:hRule="atLeast"/>
        </w:trPr>
        <w:tc>
          <w:tcPr>
            <w:tcW w:w="6534" w:type="dxa"/>
            <w:tcBorders>
              <w:top w:val="single" w:sz="6" w:space="0" w:color="C8C8C8"/>
              <w:bottom w:val="single" w:sz="6" w:space="0" w:color="C8C8C8"/>
              <w:right w:val="single" w:sz="6" w:space="0" w:color="C8C8C8"/>
            </w:tcBorders>
          </w:tcPr>
          <w:p>
            <w:pPr>
              <w:pStyle w:val="TableParagraph"/>
              <w:rPr>
                <w:sz w:val="19"/>
              </w:rPr>
            </w:pPr>
            <w:r>
              <w:rPr>
                <w:color w:val="202020"/>
                <w:sz w:val="19"/>
              </w:rPr>
              <w:t>V Victoria</w:t>
            </w:r>
          </w:p>
        </w:tc>
        <w:tc>
          <w:tcPr>
            <w:tcW w:w="9051"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 South Australia</w:t>
            </w:r>
          </w:p>
        </w:tc>
      </w:tr>
      <w:tr>
        <w:trPr>
          <w:trHeight w:val="404" w:hRule="atLeast"/>
        </w:trPr>
        <w:tc>
          <w:tcPr>
            <w:tcW w:w="6534" w:type="dxa"/>
            <w:tcBorders>
              <w:top w:val="single" w:sz="6" w:space="0" w:color="C8C8C8"/>
              <w:bottom w:val="single" w:sz="6" w:space="0" w:color="C8C8C8"/>
              <w:right w:val="single" w:sz="6" w:space="0" w:color="C8C8C8"/>
            </w:tcBorders>
          </w:tcPr>
          <w:p>
            <w:pPr>
              <w:pStyle w:val="TableParagraph"/>
              <w:rPr>
                <w:sz w:val="19"/>
              </w:rPr>
            </w:pPr>
            <w:r>
              <w:rPr>
                <w:color w:val="202020"/>
                <w:sz w:val="19"/>
              </w:rPr>
              <w:t>X Northern Territory</w:t>
            </w:r>
          </w:p>
        </w:tc>
        <w:tc>
          <w:tcPr>
            <w:tcW w:w="9051"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C Australian Capital Territory</w:t>
            </w:r>
          </w:p>
        </w:tc>
      </w:tr>
      <w:tr>
        <w:trPr>
          <w:trHeight w:val="404" w:hRule="atLeast"/>
        </w:trPr>
        <w:tc>
          <w:tcPr>
            <w:tcW w:w="6534" w:type="dxa"/>
            <w:tcBorders>
              <w:top w:val="single" w:sz="6" w:space="0" w:color="C8C8C8"/>
              <w:bottom w:val="single" w:sz="6" w:space="0" w:color="C8C8C8"/>
              <w:right w:val="single" w:sz="6" w:space="0" w:color="C8C8C8"/>
            </w:tcBorders>
          </w:tcPr>
          <w:p>
            <w:pPr>
              <w:pStyle w:val="TableParagraph"/>
              <w:rPr>
                <w:sz w:val="19"/>
              </w:rPr>
            </w:pPr>
            <w:r>
              <w:rPr>
                <w:color w:val="202020"/>
                <w:sz w:val="19"/>
              </w:rPr>
              <w:t>Q Queensland</w:t>
            </w:r>
          </w:p>
        </w:tc>
        <w:tc>
          <w:tcPr>
            <w:tcW w:w="9051"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 Tasmania</w:t>
            </w:r>
          </w:p>
        </w:tc>
      </w:tr>
    </w:tbl>
    <w:p>
      <w:pPr>
        <w:pStyle w:val="BodyText"/>
        <w:spacing w:before="6"/>
        <w:rPr>
          <w:sz w:val="7"/>
        </w:rPr>
      </w:pPr>
    </w:p>
    <w:p>
      <w:pPr>
        <w:pStyle w:val="BodyText"/>
        <w:spacing w:line="446" w:lineRule="auto" w:before="93"/>
        <w:ind w:left="108" w:right="2679"/>
      </w:pPr>
      <w:r>
        <w:rPr/>
        <w:t>For goods manufactured or produced outside Australia, which were previously imported and are being re-exported, the State of origin code is 'F'. Assistance with Customs Export Documentation</w:t>
      </w:r>
    </w:p>
    <w:p>
      <w:pPr>
        <w:pStyle w:val="BodyText"/>
        <w:spacing w:line="237" w:lineRule="auto" w:before="1"/>
        <w:ind w:left="108" w:right="621"/>
      </w:pPr>
      <w:r>
        <w:rPr/>
        <w:t>For difficulties in determining the State of origin of an export commodity, or other assistance with Customs export documentation, exporters should contact the Customs Information Centre.</w:t>
      </w:r>
    </w:p>
    <w:p>
      <w:pPr>
        <w:pStyle w:val="BodyText"/>
        <w:spacing w:before="4"/>
        <w:rPr>
          <w:sz w:val="16"/>
        </w:rPr>
      </w:pPr>
    </w:p>
    <w:p>
      <w:pPr>
        <w:pStyle w:val="BodyText"/>
        <w:ind w:left="108"/>
      </w:pPr>
      <w:r>
        <w:rPr/>
        <w:t>Questions about ABS trade statistics should be directed to Michelle Williams on</w:t>
      </w:r>
    </w:p>
    <w:p>
      <w:pPr>
        <w:pStyle w:val="BodyText"/>
        <w:spacing w:before="3"/>
        <w:rPr>
          <w:sz w:val="16"/>
        </w:rPr>
      </w:pPr>
    </w:p>
    <w:p>
      <w:pPr>
        <w:pStyle w:val="BodyText"/>
        <w:spacing w:before="1"/>
        <w:ind w:left="108"/>
      </w:pPr>
      <w:r>
        <w:rPr/>
        <w:t>(02) 6252 5411, email: </w:t>
      </w:r>
      <w:hyperlink r:id="rId5">
        <w:r>
          <w:rPr>
            <w:color w:val="0F64C7"/>
          </w:rPr>
          <w:t>michelle.williams@abs.gov.au.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37" w:lineRule="auto" w:before="121"/>
        <w:ind w:left="108" w:right="14000"/>
      </w:pPr>
      <w:r>
        <w:rPr/>
        <w:t>Jeff Buckpitt National Manager</w:t>
      </w:r>
    </w:p>
    <w:p>
      <w:pPr>
        <w:pStyle w:val="BodyText"/>
        <w:spacing w:line="237" w:lineRule="auto"/>
        <w:ind w:left="108" w:right="12553"/>
      </w:pPr>
      <w:r>
        <w:rPr/>
        <w:t>Import/Export Management Branch for</w:t>
      </w:r>
    </w:p>
    <w:p>
      <w:pPr>
        <w:pStyle w:val="BodyText"/>
        <w:spacing w:line="446" w:lineRule="auto"/>
        <w:ind w:left="108" w:right="13461"/>
      </w:pPr>
      <w:r>
        <w:rPr/>
        <w:t>Chief Executive Officer July 2000</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5"/>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elle.williams@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2020-12-09T23:16:43Z</dcterms:created>
  <dcterms:modified xsi:type="dcterms:W3CDTF">2020-12-09T23:16:43Z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