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65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pacing w:val="-3"/>
          <w:sz w:val="32"/>
        </w:rPr>
        <w:t>APPLICATION  </w:t>
      </w:r>
      <w:r>
        <w:rPr>
          <w:b/>
          <w:color w:val="202020"/>
          <w:sz w:val="32"/>
        </w:rPr>
        <w:t>FOR CUSTOMS BROKERS</w:t>
      </w:r>
      <w:r>
        <w:rPr>
          <w:b/>
          <w:color w:val="202020"/>
          <w:spacing w:val="32"/>
          <w:sz w:val="32"/>
        </w:rPr>
        <w:t> </w:t>
      </w:r>
      <w:r>
        <w:rPr>
          <w:b/>
          <w:color w:val="202020"/>
          <w:sz w:val="32"/>
        </w:rPr>
        <w:t>LICENCE</w:t>
      </w:r>
    </w:p>
    <w:p>
      <w:pPr>
        <w:pStyle w:val="BodyText"/>
        <w:spacing w:before="254"/>
        <w:ind w:left="108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Customs</w:t>
      </w:r>
      <w:r>
        <w:rPr>
          <w:spacing w:val="-3"/>
        </w:rPr>
        <w:t> </w:t>
      </w:r>
      <w:r>
        <w:rPr/>
        <w:t>brokers</w:t>
      </w:r>
      <w:r>
        <w:rPr>
          <w:spacing w:val="-3"/>
        </w:rPr>
        <w:t> </w:t>
      </w:r>
      <w:r>
        <w:rPr/>
        <w:t>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16"/>
        <w:gridCol w:w="7076"/>
      </w:tblGrid>
      <w:tr>
        <w:trPr>
          <w:trHeight w:val="404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WESTERN AUSTRALIA</w:t>
            </w: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NEW SOUTH WALES</w:t>
            </w:r>
          </w:p>
        </w:tc>
      </w:tr>
      <w:tr>
        <w:trPr>
          <w:trHeight w:val="404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Mark Wayne BRADFIELD</w:t>
            </w: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Robert CARNIEL</w:t>
            </w:r>
          </w:p>
        </w:tc>
      </w:tr>
      <w:tr>
        <w:trPr>
          <w:trHeight w:val="404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Daniel Carmelo COLOMBO</w:t>
            </w: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David Daniel MOREL</w:t>
            </w:r>
          </w:p>
        </w:tc>
      </w:tr>
      <w:tr>
        <w:trPr>
          <w:trHeight w:val="187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404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SOUTH AUSTRALIA</w:t>
            </w: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8516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Kristy Spears</w:t>
            </w:r>
          </w:p>
        </w:tc>
        <w:tc>
          <w:tcPr>
            <w:tcW w:w="7076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65pt;width:2.70568pt;height:112.285716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624pt;width:2.70568pt;height:81.170397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applicants should address their correspondence to:</w:t>
      </w:r>
    </w:p>
    <w:p>
      <w:pPr>
        <w:pStyle w:val="BodyText"/>
        <w:rPr>
          <w:sz w:val="20"/>
        </w:rPr>
      </w:pPr>
    </w:p>
    <w:p>
      <w:pPr>
        <w:spacing w:line="232" w:lineRule="auto" w:before="166"/>
        <w:ind w:left="1108" w:right="10459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Australian Customs Service Customs Brokers Licensing Group 5 Constitution Avenue</w:t>
      </w:r>
    </w:p>
    <w:p>
      <w:pPr>
        <w:spacing w:line="299" w:lineRule="exact" w:before="0"/>
        <w:ind w:left="1108" w:right="0" w:firstLine="0"/>
        <w:jc w:val="left"/>
        <w:rPr>
          <w:rFonts w:ascii="Georgia"/>
          <w:i/>
          <w:sz w:val="27"/>
        </w:rPr>
      </w:pPr>
      <w:r>
        <w:rPr>
          <w:rFonts w:ascii="Georgia"/>
          <w:i/>
          <w:color w:val="585858"/>
          <w:sz w:val="27"/>
        </w:rPr>
        <w:t>CANBERRA ACT 2601</w:t>
      </w: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rPr>
          <w:rFonts w:ascii="Georgia"/>
          <w:i/>
          <w:sz w:val="30"/>
        </w:rPr>
      </w:pPr>
    </w:p>
    <w:p>
      <w:pPr>
        <w:pStyle w:val="BodyText"/>
        <w:spacing w:before="203"/>
        <w:ind w:left="108"/>
      </w:pPr>
      <w:r>
        <w:rPr/>
        <w:t>by 30 November 2000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 w:before="1"/>
        <w:ind w:left="108" w:right="14000"/>
      </w:pPr>
      <w:r>
        <w:rPr/>
        <w:t>Jeff Buckpitt National Manager</w:t>
      </w:r>
    </w:p>
    <w:p>
      <w:pPr>
        <w:pStyle w:val="BodyText"/>
        <w:spacing w:line="237" w:lineRule="auto"/>
        <w:ind w:left="108" w:right="12490"/>
      </w:pPr>
      <w:r>
        <w:rPr/>
        <w:t>Import/Export Management Branch For</w:t>
      </w:r>
    </w:p>
    <w:p>
      <w:pPr>
        <w:pStyle w:val="BodyText"/>
        <w:spacing w:line="475" w:lineRule="auto"/>
        <w:ind w:left="108" w:right="13588"/>
      </w:pPr>
      <w:r>
        <w:rPr/>
        <w:t>Chief Executive Officer 26 October 2000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2020-12-09T23:12:21Z</dcterms:created>
  <dcterms:modified xsi:type="dcterms:W3CDTF">2020-12-09T23:12:21Z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