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75</w:t>
      </w:r>
    </w:p>
    <w:p>
      <w:pPr>
        <w:spacing w:before="354"/>
        <w:ind w:left="109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APPLICATION FOR CORPORATE CUSTOMS BROKERS LICENCE</w:t>
      </w:r>
    </w:p>
    <w:p>
      <w:pPr>
        <w:pStyle w:val="BodyText"/>
        <w:spacing w:before="258"/>
        <w:ind w:left="109"/>
      </w:pPr>
      <w:r>
        <w:rPr/>
        <w:pict>
          <v:rect style="position:absolute;margin-left:46.101822pt;margin-top:23.863098pt;width:2.736292pt;height:153.916432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licence:</w:t>
      </w:r>
    </w:p>
    <w:p>
      <w:pPr>
        <w:spacing w:before="173"/>
        <w:ind w:left="574" w:right="0" w:firstLine="0"/>
        <w:jc w:val="left"/>
        <w:rPr>
          <w:rFonts w:ascii="Georgia"/>
          <w:sz w:val="23"/>
        </w:rPr>
      </w:pPr>
      <w:r>
        <w:rPr>
          <w:rFonts w:ascii="Georgia"/>
          <w:color w:val="585858"/>
          <w:w w:val="115"/>
          <w:sz w:val="23"/>
        </w:rPr>
        <w:t>CCI GLOBAL LOGISTICS PTY. LTD. 627 QUEENSBERY STREET NORTH MELBOURNE VIC 3088</w:t>
      </w:r>
    </w:p>
    <w:p>
      <w:pPr>
        <w:pStyle w:val="BodyText"/>
        <w:spacing w:before="9"/>
        <w:rPr>
          <w:rFonts w:ascii="Georgia"/>
          <w:sz w:val="20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6"/>
        <w:gridCol w:w="6130"/>
      </w:tblGrid>
      <w:tr>
        <w:trPr>
          <w:trHeight w:val="477" w:hRule="atLeast"/>
        </w:trPr>
        <w:tc>
          <w:tcPr>
            <w:tcW w:w="8996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Persons in Authority</w:t>
            </w:r>
          </w:p>
        </w:tc>
        <w:tc>
          <w:tcPr>
            <w:tcW w:w="613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7" w:hRule="atLeast"/>
        </w:trPr>
        <w:tc>
          <w:tcPr>
            <w:tcW w:w="8996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Richard Dale Patterson DOHERTY</w:t>
            </w:r>
          </w:p>
        </w:tc>
        <w:tc>
          <w:tcPr>
            <w:tcW w:w="6130" w:type="dxa"/>
            <w:tcBorders>
              <w:right w:val="nil"/>
            </w:tcBorders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color w:val="202020"/>
                <w:sz w:val="23"/>
              </w:rPr>
              <w:t>Anthony GAROFFOLO</w:t>
            </w:r>
          </w:p>
        </w:tc>
      </w:tr>
    </w:tbl>
    <w:p>
      <w:pPr>
        <w:pStyle w:val="BodyText"/>
        <w:spacing w:before="5"/>
        <w:rPr>
          <w:rFonts w:ascii="Georgia"/>
          <w:sz w:val="20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10"/>
        <w:gridCol w:w="7416"/>
      </w:tblGrid>
      <w:tr>
        <w:trPr>
          <w:trHeight w:val="477" w:hRule="atLeast"/>
        </w:trPr>
        <w:tc>
          <w:tcPr>
            <w:tcW w:w="7710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Nominees</w:t>
            </w:r>
          </w:p>
        </w:tc>
        <w:tc>
          <w:tcPr>
            <w:tcW w:w="7416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7" w:hRule="atLeast"/>
        </w:trPr>
        <w:tc>
          <w:tcPr>
            <w:tcW w:w="7710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 D P DOHERTY, licence no. 147</w:t>
            </w:r>
          </w:p>
        </w:tc>
        <w:tc>
          <w:tcPr>
            <w:tcW w:w="7416" w:type="dxa"/>
            <w:tcBorders>
              <w:right w:val="nil"/>
            </w:tcBorders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color w:val="202020"/>
                <w:sz w:val="23"/>
              </w:rPr>
              <w:t>A GAROFFOLO, licence no. 193</w:t>
            </w:r>
          </w:p>
        </w:tc>
      </w:tr>
    </w:tbl>
    <w:p>
      <w:pPr>
        <w:pStyle w:val="BodyText"/>
        <w:spacing w:before="1"/>
        <w:rPr>
          <w:rFonts w:ascii="Georgia"/>
          <w:sz w:val="36"/>
        </w:rPr>
      </w:pPr>
    </w:p>
    <w:p>
      <w:pPr>
        <w:pStyle w:val="BodyText"/>
        <w:ind w:left="109"/>
      </w:pPr>
      <w:r>
        <w:rPr/>
        <w:pict>
          <v:rect style="position:absolute;margin-left:46.101822pt;margin-top:10.963097pt;width:2.736292pt;height:68.407303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1.412529pt;margin-top:19.856045pt;width:2.736292pt;height:36.939944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spacing w:before="166"/>
        <w:ind w:left="1121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line="451" w:lineRule="auto" w:before="216"/>
        <w:ind w:left="109" w:right="3438"/>
      </w:pPr>
      <w:r>
        <w:rPr/>
        <w:t>by 5 January 2000. Jeff Buckpitt National Manager Import/Export Management Branch for Chief Executive Officer 6 December 2000 (Import/Export Management Branch C00/09349)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67"/>
      <w:ind w:left="109"/>
    </w:pPr>
    <w:rPr>
      <w:rFonts w:ascii="Arial" w:hAnsi="Arial" w:eastAsia="Arial" w:cs="Arial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3"/>
      <w:ind w:left="116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2020-12-09T23:16:27Z</dcterms:created>
  <dcterms:modified xsi:type="dcterms:W3CDTF">2020-12-09T23:16:27Z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