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20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Tariff Proposal No. 2 (2001)</w:t>
      </w:r>
    </w:p>
    <w:p>
      <w:pPr>
        <w:pStyle w:val="BodyText"/>
        <w:spacing w:before="282"/>
        <w:ind w:right="124"/>
      </w:pPr>
      <w:r>
        <w:rPr/>
        <w:t>Customs </w:t>
      </w:r>
      <w:r>
        <w:rPr>
          <w:spacing w:val="-5"/>
        </w:rPr>
        <w:t>Tariff </w:t>
      </w:r>
      <w:r>
        <w:rPr/>
        <w:t>Proposal No. 2 (2001) was tabled in the House of Representatives on 1 March 2001. The </w:t>
      </w:r>
      <w:r>
        <w:rPr>
          <w:spacing w:val="-3"/>
        </w:rPr>
        <w:t>Proposal </w:t>
      </w:r>
      <w:r>
        <w:rPr/>
        <w:t>contained a number of amendments to the </w:t>
      </w:r>
      <w:r>
        <w:rPr>
          <w:i/>
        </w:rPr>
        <w:t>Customs </w:t>
      </w:r>
      <w:r>
        <w:rPr>
          <w:i/>
          <w:spacing w:val="-4"/>
        </w:rPr>
        <w:t>Tariff </w:t>
      </w:r>
      <w:r>
        <w:rPr>
          <w:i/>
        </w:rPr>
        <w:t>Act 1995 </w:t>
      </w:r>
      <w:r>
        <w:rPr/>
        <w:t>(the Customs </w:t>
      </w:r>
      <w:r>
        <w:rPr>
          <w:spacing w:val="-5"/>
        </w:rPr>
        <w:t>Tariff </w:t>
      </w:r>
      <w:r>
        <w:rPr/>
        <w:t>Act) to give effect to recent decisions by the Government in relation to customs and excise duties on certain fuels.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41"/>
      </w:pPr>
      <w:r>
        <w:rPr/>
        <w:t>The customs duty on leaded and unleaded petrol and diesel fuel was reduced by 1.5 cents per litre, effective from 2 March 2001. A proportional reduction of customs duty, also effective from 2 March 2001, was made for burner fuels and aviation fuels.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line="446" w:lineRule="auto"/>
        <w:ind w:right="3229"/>
      </w:pPr>
      <w:r>
        <w:rPr/>
        <w:t>Equivalent changes have also been made to the </w:t>
      </w:r>
      <w:r>
        <w:rPr>
          <w:i/>
        </w:rPr>
        <w:t>Excise Tariff Act 1921</w:t>
      </w:r>
      <w:r>
        <w:rPr/>
        <w:t>. Customs Tariff reprint pages issued in connection with these changes are:</w:t>
      </w:r>
    </w:p>
    <w:p>
      <w:pPr>
        <w:pStyle w:val="BodyText"/>
        <w:spacing w:before="2"/>
      </w:pPr>
      <w:r>
        <w:rPr/>
        <w:t>Schedule 3: 27/3 (R.14), 27/5 (R.16), 27/7 (R.13), 29/7 (R.9) and 38/7 (R.10).</w:t>
      </w:r>
    </w:p>
    <w:p>
      <w:pPr>
        <w:pStyle w:val="BodyText"/>
        <w:spacing w:line="450" w:lineRule="atLeast"/>
      </w:pPr>
      <w:r>
        <w:rPr/>
        <w:t>Any queries relating to this Proposal should be directed to Mr Nick Blackaby, Tariff Legislation on (02) 6275 6506. Phil Burns</w:t>
      </w:r>
    </w:p>
    <w:p>
      <w:pPr>
        <w:pStyle w:val="BodyText"/>
        <w:ind w:right="8746"/>
      </w:pPr>
      <w:r>
        <w:rPr/>
        <w:t>National Director Commercial Division</w:t>
      </w:r>
    </w:p>
    <w:p>
      <w:pPr>
        <w:pStyle w:val="BodyText"/>
        <w:spacing w:line="237" w:lineRule="auto"/>
        <w:ind w:right="7257"/>
      </w:pPr>
      <w:r>
        <w:rPr/>
        <w:t>For Chief Executive Officer Canberra.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March 2001</w:t>
      </w:r>
    </w:p>
    <w:sectPr>
      <w:type w:val="continuous"/>
      <w:pgSz w:w="11900" w:h="16840"/>
      <w:pgMar w:top="700" w:bottom="280" w:left="6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2020-12-09T23:18:28Z</dcterms:created>
  <dcterms:modified xsi:type="dcterms:W3CDTF">2020-12-09T23:18:28Z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