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23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Proposal No. 3 (2001)</w:t>
      </w:r>
    </w:p>
    <w:p>
      <w:pPr>
        <w:pStyle w:val="BodyText"/>
        <w:spacing w:before="282"/>
      </w:pPr>
      <w:r>
        <w:rPr/>
        <w:t>Customs Tariff Proposal No. 3 (2001) was tabled in the House of Representatives on 3 April 2001. The Proposal contained amendments to the </w:t>
      </w:r>
      <w:r>
        <w:rPr>
          <w:i/>
        </w:rPr>
        <w:t>Customs Tariff Act 1995 </w:t>
      </w:r>
      <w:r>
        <w:rPr/>
        <w:t>to give effect to a decision by the Government to reduce customs and excise duties on certain beer.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166"/>
      </w:pPr>
      <w:r>
        <w:rPr/>
        <w:t>The customs duty on beer packaged in an individual container exceeding 48 litres has been reduced, as follows: for beer of an alcoholic strength exceeding 1.15% but not exceeding 3.0% by volume, $15.96 per litre of alcohol; for beer of an alcoholic strength exceeding 3.0% but not exceeding 3.5% by volume, $17.33 per litre of alcohol; for beer of an alcoholic strength exceeding 3.5% by volume, $22.68 per litre of alcohol. In each case, customs duty is calculated on that alcohol content by which the percentage by volume of alcohol exceeds 1.15%.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ind w:right="423"/>
      </w:pPr>
      <w:r>
        <w:rPr/>
        <w:t>There has been no change to the customs duty on beer packaged in an individual container not exceeding 48 litres.</w:t>
      </w:r>
    </w:p>
    <w:p>
      <w:pPr>
        <w:pStyle w:val="BodyText"/>
        <w:ind w:left="0"/>
        <w:rPr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sz w:val="21"/>
        </w:rPr>
        <w:t>Equivalent changes have also been made to the </w:t>
      </w:r>
      <w:r>
        <w:rPr>
          <w:i/>
          <w:sz w:val="21"/>
        </w:rPr>
        <w:t>Excise Tariff Act 1921</w:t>
      </w:r>
      <w:r>
        <w:rPr>
          <w:sz w:val="21"/>
        </w:rPr>
        <w:t>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  <w:ind w:right="249"/>
      </w:pPr>
      <w:r>
        <w:rPr/>
        <w:t>Customs </w:t>
      </w:r>
      <w:r>
        <w:rPr>
          <w:spacing w:val="-5"/>
        </w:rPr>
        <w:t>Tariff </w:t>
      </w:r>
      <w:r>
        <w:rPr/>
        <w:t>reprint pages issued in connection with these changes will be available in the week commencing 17 April 2001.</w:t>
      </w:r>
    </w:p>
    <w:p>
      <w:pPr>
        <w:pStyle w:val="BodyText"/>
        <w:spacing w:line="450" w:lineRule="exact" w:before="44"/>
        <w:ind w:right="94"/>
      </w:pPr>
      <w:r>
        <w:rPr/>
        <w:t>Any queries relating to this Proposal should be directed to Mr Nick Blackaby, </w:t>
      </w:r>
      <w:r>
        <w:rPr>
          <w:spacing w:val="-5"/>
        </w:rPr>
        <w:t>Tariff </w:t>
      </w:r>
      <w:r>
        <w:rPr/>
        <w:t>Legislation on (02) 6275 </w:t>
      </w:r>
      <w:r>
        <w:rPr>
          <w:spacing w:val="-4"/>
        </w:rPr>
        <w:t>6506. </w:t>
      </w:r>
      <w:r>
        <w:rPr/>
        <w:t>PHIL BURNS</w:t>
      </w:r>
    </w:p>
    <w:p>
      <w:pPr>
        <w:pStyle w:val="BodyText"/>
        <w:spacing w:line="194" w:lineRule="exact"/>
      </w:pPr>
      <w:r>
        <w:rPr/>
        <w:t>National Director</w:t>
      </w:r>
    </w:p>
    <w:p>
      <w:pPr>
        <w:pStyle w:val="BodyText"/>
        <w:ind w:right="8666"/>
      </w:pPr>
      <w:r>
        <w:rPr/>
        <w:t>Commercial Division for</w:t>
      </w:r>
    </w:p>
    <w:p>
      <w:pPr>
        <w:pStyle w:val="BodyText"/>
        <w:spacing w:line="239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2020-12-09T23:22:48Z</dcterms:created>
  <dcterms:modified xsi:type="dcterms:W3CDTF">2020-12-09T23:22:48Z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