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09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Applications for Customs broker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33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broker's licence:</w:t>
      </w:r>
    </w:p>
    <w:p>
      <w:pPr>
        <w:pStyle w:val="Heading1"/>
        <w:spacing w:before="191"/>
      </w:pPr>
      <w:r>
        <w:rPr>
          <w:color w:val="585858"/>
        </w:rPr>
        <w:t>Lindsay Donald HENDERSON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  <w:ind w:right="97"/>
      </w:pPr>
      <w:r>
        <w:rPr/>
        <w:pict>
          <v:rect style="position:absolute;margin-left:47.75pt;margin-top:24.098877pt;width:3pt;height:77.2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before="190"/>
        <w:ind w:right="5816"/>
      </w:pPr>
      <w:r>
        <w:rPr>
          <w:color w:val="585858"/>
        </w:rPr>
        <w:t>Australian Customs Service Broker Licensing Group</w:t>
      </w:r>
    </w:p>
    <w:p>
      <w:pPr>
        <w:spacing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line="450" w:lineRule="atLeast" w:before="244"/>
        <w:ind w:right="8072"/>
      </w:pPr>
      <w:r>
        <w:rPr/>
        <w:t>By 1 March </w:t>
      </w:r>
      <w:r>
        <w:rPr>
          <w:spacing w:val="-4"/>
        </w:rPr>
        <w:t>2002. </w:t>
      </w:r>
      <w:r>
        <w:rPr/>
        <w:t>JEFF BUCKPITT</w:t>
      </w:r>
    </w:p>
    <w:p>
      <w:pPr>
        <w:pStyle w:val="BodyText"/>
        <w:spacing w:line="239" w:lineRule="exact"/>
      </w:pPr>
      <w:r>
        <w:rPr/>
        <w:t>National Manager</w:t>
      </w:r>
    </w:p>
    <w:p>
      <w:pPr>
        <w:pStyle w:val="BodyText"/>
        <w:ind w:right="6891"/>
      </w:pPr>
      <w:r>
        <w:rPr/>
        <w:t>Import/Export Management Branch For</w:t>
      </w:r>
    </w:p>
    <w:p>
      <w:pPr>
        <w:pStyle w:val="BodyText"/>
        <w:spacing w:line="239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2020-12-09T22:37:40Z</dcterms:created>
  <dcterms:modified xsi:type="dcterms:W3CDTF">2020-12-09T22:37:40Z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