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22</w:t>
      </w:r>
    </w:p>
    <w:p>
      <w:pPr>
        <w:spacing w:before="357"/>
        <w:ind w:left="108" w:right="0" w:firstLine="0"/>
        <w:jc w:val="left"/>
        <w:rPr>
          <w:b/>
          <w:sz w:val="32"/>
        </w:rPr>
      </w:pPr>
      <w:r>
        <w:rPr>
          <w:b/>
          <w:color w:val="202020"/>
          <w:sz w:val="32"/>
        </w:rPr>
        <w:t>Depot licence application changes - 100 point check</w:t>
      </w:r>
    </w:p>
    <w:p>
      <w:pPr>
        <w:pStyle w:val="BodyText"/>
        <w:spacing w:line="237" w:lineRule="auto" w:before="256"/>
        <w:ind w:right="253"/>
      </w:pPr>
      <w:r>
        <w:rPr/>
        <w:t>Customs is implementing revised arrangements in relation to the depot licensing application process. The </w:t>
      </w:r>
      <w:r>
        <w:rPr>
          <w:i/>
        </w:rPr>
        <w:t>Customs Act 1901 </w:t>
      </w:r>
      <w:r>
        <w:rPr/>
        <w:t>states the Chief Executive Officer of Customs (the CEO) must not grant a depot licence to a person, partnership or company where, in the CEO's opinion, the person, a partner, or a director, officer or shareholder of the company is not "fit and proper" to hold that licence. The Customs Act also outlines the matters, which should be taken into consideration when making that determination.</w:t>
      </w:r>
    </w:p>
    <w:p>
      <w:pPr>
        <w:pStyle w:val="BodyText"/>
        <w:spacing w:before="6"/>
        <w:ind w:left="0"/>
        <w:rPr>
          <w:sz w:val="16"/>
        </w:rPr>
      </w:pPr>
    </w:p>
    <w:p>
      <w:pPr>
        <w:pStyle w:val="BodyText"/>
        <w:spacing w:line="237" w:lineRule="auto"/>
        <w:ind w:right="145"/>
      </w:pPr>
      <w:r>
        <w:rPr/>
        <w:t>The Depot Licence Application Form requests information about persons nominated as directors, shareholders or employees who will participate in the management and/or control of the depot. The applicant/licensee is advised that such persons will be the subject of a police records check. Only those people nominated by the applicant/licencee as being involved in the management and/or control of the depot are subject to these checks.</w:t>
      </w:r>
    </w:p>
    <w:p>
      <w:pPr>
        <w:pStyle w:val="BodyText"/>
        <w:spacing w:before="6"/>
        <w:ind w:left="0"/>
        <w:rPr>
          <w:sz w:val="16"/>
        </w:rPr>
      </w:pPr>
    </w:p>
    <w:p>
      <w:pPr>
        <w:pStyle w:val="BodyText"/>
        <w:spacing w:line="237" w:lineRule="auto"/>
        <w:ind w:right="292"/>
      </w:pPr>
      <w:r>
        <w:rPr/>
        <w:t>Under the new arrangements being implemented, those people nominated as being involved in the management and/or control of the depot will be required to establish their identity by providing certified copies of any combination of the following documents which total 100 points or more:</w:t>
      </w:r>
    </w:p>
    <w:p>
      <w:pPr>
        <w:pStyle w:val="BodyText"/>
        <w:spacing w:before="6"/>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225"/>
        <w:gridCol w:w="13366"/>
      </w:tblGrid>
      <w:tr>
        <w:trPr>
          <w:trHeight w:val="404" w:hRule="atLeast"/>
        </w:trPr>
        <w:tc>
          <w:tcPr>
            <w:tcW w:w="2225" w:type="dxa"/>
            <w:tcBorders>
              <w:left w:val="nil"/>
            </w:tcBorders>
          </w:tcPr>
          <w:p>
            <w:pPr>
              <w:pStyle w:val="TableParagraph"/>
              <w:rPr>
                <w:sz w:val="19"/>
              </w:rPr>
            </w:pPr>
            <w:r>
              <w:rPr>
                <w:color w:val="202020"/>
                <w:sz w:val="19"/>
              </w:rPr>
              <w:t>Passport</w:t>
            </w:r>
          </w:p>
        </w:tc>
        <w:tc>
          <w:tcPr>
            <w:tcW w:w="13366" w:type="dxa"/>
            <w:tcBorders>
              <w:right w:val="nil"/>
            </w:tcBorders>
          </w:tcPr>
          <w:p>
            <w:pPr>
              <w:pStyle w:val="TableParagraph"/>
              <w:rPr>
                <w:sz w:val="19"/>
              </w:rPr>
            </w:pPr>
            <w:r>
              <w:rPr>
                <w:color w:val="202020"/>
                <w:sz w:val="19"/>
              </w:rPr>
              <w:t>70 points</w:t>
            </w:r>
          </w:p>
        </w:tc>
      </w:tr>
      <w:tr>
        <w:trPr>
          <w:trHeight w:val="404" w:hRule="atLeast"/>
        </w:trPr>
        <w:tc>
          <w:tcPr>
            <w:tcW w:w="2225" w:type="dxa"/>
            <w:tcBorders>
              <w:left w:val="nil"/>
            </w:tcBorders>
          </w:tcPr>
          <w:p>
            <w:pPr>
              <w:pStyle w:val="TableParagraph"/>
              <w:rPr>
                <w:sz w:val="19"/>
              </w:rPr>
            </w:pPr>
            <w:r>
              <w:rPr>
                <w:color w:val="202020"/>
                <w:sz w:val="19"/>
              </w:rPr>
              <w:t>Birth certificate</w:t>
            </w:r>
          </w:p>
        </w:tc>
        <w:tc>
          <w:tcPr>
            <w:tcW w:w="13366" w:type="dxa"/>
            <w:tcBorders>
              <w:right w:val="nil"/>
            </w:tcBorders>
          </w:tcPr>
          <w:p>
            <w:pPr>
              <w:pStyle w:val="TableParagraph"/>
              <w:rPr>
                <w:sz w:val="19"/>
              </w:rPr>
            </w:pPr>
            <w:r>
              <w:rPr>
                <w:color w:val="202020"/>
                <w:sz w:val="19"/>
              </w:rPr>
              <w:t>70 points</w:t>
            </w:r>
          </w:p>
        </w:tc>
      </w:tr>
      <w:tr>
        <w:trPr>
          <w:trHeight w:val="404" w:hRule="atLeast"/>
        </w:trPr>
        <w:tc>
          <w:tcPr>
            <w:tcW w:w="2225" w:type="dxa"/>
            <w:tcBorders>
              <w:left w:val="nil"/>
            </w:tcBorders>
          </w:tcPr>
          <w:p>
            <w:pPr>
              <w:pStyle w:val="TableParagraph"/>
              <w:rPr>
                <w:sz w:val="19"/>
              </w:rPr>
            </w:pPr>
            <w:r>
              <w:rPr>
                <w:color w:val="202020"/>
                <w:sz w:val="19"/>
              </w:rPr>
              <w:t>Drivers licence</w:t>
            </w:r>
          </w:p>
        </w:tc>
        <w:tc>
          <w:tcPr>
            <w:tcW w:w="13366" w:type="dxa"/>
            <w:tcBorders>
              <w:right w:val="nil"/>
            </w:tcBorders>
          </w:tcPr>
          <w:p>
            <w:pPr>
              <w:pStyle w:val="TableParagraph"/>
              <w:rPr>
                <w:sz w:val="19"/>
              </w:rPr>
            </w:pPr>
            <w:r>
              <w:rPr>
                <w:color w:val="202020"/>
                <w:sz w:val="19"/>
              </w:rPr>
              <w:t>40 points</w:t>
            </w:r>
          </w:p>
        </w:tc>
      </w:tr>
      <w:tr>
        <w:trPr>
          <w:trHeight w:val="404" w:hRule="atLeast"/>
        </w:trPr>
        <w:tc>
          <w:tcPr>
            <w:tcW w:w="2225" w:type="dxa"/>
            <w:tcBorders>
              <w:left w:val="nil"/>
            </w:tcBorders>
          </w:tcPr>
          <w:p>
            <w:pPr>
              <w:pStyle w:val="TableParagraph"/>
              <w:rPr>
                <w:sz w:val="19"/>
              </w:rPr>
            </w:pPr>
            <w:r>
              <w:rPr>
                <w:color w:val="202020"/>
                <w:sz w:val="19"/>
              </w:rPr>
              <w:t>Company or official ID</w:t>
            </w:r>
          </w:p>
        </w:tc>
        <w:tc>
          <w:tcPr>
            <w:tcW w:w="13366" w:type="dxa"/>
            <w:tcBorders>
              <w:right w:val="nil"/>
            </w:tcBorders>
          </w:tcPr>
          <w:p>
            <w:pPr>
              <w:pStyle w:val="TableParagraph"/>
              <w:rPr>
                <w:sz w:val="19"/>
              </w:rPr>
            </w:pPr>
            <w:r>
              <w:rPr>
                <w:color w:val="202020"/>
                <w:sz w:val="19"/>
              </w:rPr>
              <w:t>40 points</w:t>
            </w:r>
          </w:p>
        </w:tc>
      </w:tr>
      <w:tr>
        <w:trPr>
          <w:trHeight w:val="404" w:hRule="atLeast"/>
        </w:trPr>
        <w:tc>
          <w:tcPr>
            <w:tcW w:w="2225" w:type="dxa"/>
            <w:tcBorders>
              <w:left w:val="nil"/>
            </w:tcBorders>
          </w:tcPr>
          <w:p>
            <w:pPr>
              <w:pStyle w:val="TableParagraph"/>
              <w:rPr>
                <w:sz w:val="19"/>
              </w:rPr>
            </w:pPr>
            <w:r>
              <w:rPr>
                <w:color w:val="202020"/>
                <w:sz w:val="19"/>
              </w:rPr>
              <w:t>Medicare card</w:t>
            </w:r>
          </w:p>
        </w:tc>
        <w:tc>
          <w:tcPr>
            <w:tcW w:w="13366" w:type="dxa"/>
            <w:tcBorders>
              <w:right w:val="nil"/>
            </w:tcBorders>
          </w:tcPr>
          <w:p>
            <w:pPr>
              <w:pStyle w:val="TableParagraph"/>
              <w:rPr>
                <w:sz w:val="19"/>
              </w:rPr>
            </w:pPr>
            <w:r>
              <w:rPr>
                <w:color w:val="202020"/>
                <w:sz w:val="19"/>
              </w:rPr>
              <w:t>25 points</w:t>
            </w:r>
          </w:p>
        </w:tc>
      </w:tr>
      <w:tr>
        <w:trPr>
          <w:trHeight w:val="404" w:hRule="atLeast"/>
        </w:trPr>
        <w:tc>
          <w:tcPr>
            <w:tcW w:w="2225" w:type="dxa"/>
            <w:tcBorders>
              <w:left w:val="nil"/>
            </w:tcBorders>
          </w:tcPr>
          <w:p>
            <w:pPr>
              <w:pStyle w:val="TableParagraph"/>
              <w:rPr>
                <w:sz w:val="19"/>
              </w:rPr>
            </w:pPr>
            <w:r>
              <w:rPr>
                <w:color w:val="202020"/>
                <w:sz w:val="19"/>
              </w:rPr>
              <w:t>Credit card</w:t>
            </w:r>
          </w:p>
        </w:tc>
        <w:tc>
          <w:tcPr>
            <w:tcW w:w="13366" w:type="dxa"/>
            <w:tcBorders>
              <w:right w:val="nil"/>
            </w:tcBorders>
          </w:tcPr>
          <w:p>
            <w:pPr>
              <w:pStyle w:val="TableParagraph"/>
              <w:rPr>
                <w:sz w:val="19"/>
              </w:rPr>
            </w:pPr>
            <w:r>
              <w:rPr>
                <w:color w:val="202020"/>
                <w:sz w:val="19"/>
              </w:rPr>
              <w:t>25 points</w:t>
            </w:r>
          </w:p>
        </w:tc>
      </w:tr>
      <w:tr>
        <w:trPr>
          <w:trHeight w:val="404" w:hRule="atLeast"/>
        </w:trPr>
        <w:tc>
          <w:tcPr>
            <w:tcW w:w="2225" w:type="dxa"/>
            <w:tcBorders>
              <w:left w:val="nil"/>
            </w:tcBorders>
          </w:tcPr>
          <w:p>
            <w:pPr>
              <w:pStyle w:val="TableParagraph"/>
              <w:rPr>
                <w:sz w:val="19"/>
              </w:rPr>
            </w:pPr>
            <w:r>
              <w:rPr>
                <w:color w:val="202020"/>
                <w:sz w:val="19"/>
              </w:rPr>
              <w:t>Marriage certificate</w:t>
            </w:r>
          </w:p>
        </w:tc>
        <w:tc>
          <w:tcPr>
            <w:tcW w:w="13366" w:type="dxa"/>
            <w:tcBorders>
              <w:right w:val="nil"/>
            </w:tcBorders>
          </w:tcPr>
          <w:p>
            <w:pPr>
              <w:pStyle w:val="TableParagraph"/>
              <w:rPr>
                <w:sz w:val="19"/>
              </w:rPr>
            </w:pPr>
            <w:r>
              <w:rPr>
                <w:color w:val="202020"/>
                <w:sz w:val="19"/>
              </w:rPr>
              <w:t>25 points</w:t>
            </w:r>
          </w:p>
        </w:tc>
      </w:tr>
    </w:tbl>
    <w:p>
      <w:pPr>
        <w:pStyle w:val="BodyText"/>
        <w:ind w:left="0"/>
        <w:rPr>
          <w:sz w:val="20"/>
        </w:rPr>
      </w:pPr>
    </w:p>
    <w:p>
      <w:pPr>
        <w:pStyle w:val="BodyText"/>
        <w:spacing w:line="237" w:lineRule="auto" w:before="175"/>
        <w:ind w:right="347"/>
      </w:pPr>
      <w:r>
        <w:rPr/>
        <w:t>Any details about individuals contained within the Depot Licence Application Form, associated information or information obtained as a result of police record checks is personal information and will remain confidential in accordance with the Information Privacy Principles of the </w:t>
      </w:r>
      <w:r>
        <w:rPr>
          <w:i/>
        </w:rPr>
        <w:t>Privacy Act 1988 </w:t>
      </w:r>
      <w:r>
        <w:rPr/>
        <w:t>and the requirements of section 16 of the </w:t>
      </w:r>
      <w:r>
        <w:rPr>
          <w:i/>
        </w:rPr>
        <w:t>Customs Administration Act 1985</w:t>
      </w:r>
      <w:r>
        <w:rPr/>
        <w:t>.</w:t>
      </w:r>
    </w:p>
    <w:p>
      <w:pPr>
        <w:pStyle w:val="BodyText"/>
        <w:spacing w:line="620" w:lineRule="atLeast" w:before="3"/>
        <w:ind w:right="6670"/>
        <w:rPr>
          <w:b/>
        </w:rPr>
      </w:pPr>
      <w:r>
        <w:rPr/>
        <w:t>Any questions in relation to this notice should be directed to Director Border Policy on 02 6275 6564. </w:t>
      </w:r>
      <w:r>
        <w:rPr>
          <w:b/>
        </w:rPr>
        <w:t>Marion Grant</w:t>
      </w:r>
    </w:p>
    <w:p>
      <w:pPr>
        <w:pStyle w:val="Heading1"/>
        <w:spacing w:line="217" w:lineRule="exact"/>
        <w:ind w:right="0"/>
      </w:pPr>
      <w:r>
        <w:rPr/>
        <w:t>National Manager</w:t>
      </w:r>
    </w:p>
    <w:p>
      <w:pPr>
        <w:spacing w:line="237" w:lineRule="auto" w:before="1"/>
        <w:ind w:left="108" w:right="13208" w:firstLine="0"/>
        <w:jc w:val="left"/>
        <w:rPr>
          <w:b/>
          <w:sz w:val="19"/>
        </w:rPr>
      </w:pPr>
      <w:r>
        <w:rPr>
          <w:b/>
          <w:sz w:val="19"/>
        </w:rPr>
        <w:t>Border Operations Branch For</w:t>
      </w:r>
    </w:p>
    <w:p>
      <w:pPr>
        <w:pStyle w:val="Heading1"/>
        <w:spacing w:line="446" w:lineRule="auto"/>
      </w:pPr>
      <w:r>
        <w:rPr/>
        <w:t>Chief Executive Officer June 2002</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Heading1" w:type="paragraph">
    <w:name w:val="Heading 1"/>
    <w:basedOn w:val="Normal"/>
    <w:uiPriority w:val="1"/>
    <w:qFormat/>
    <w:pPr>
      <w:ind w:left="108" w:right="132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2020-12-09T22:42:18Z</dcterms:created>
  <dcterms:modified xsi:type="dcterms:W3CDTF">2020-12-09T22:42:18Z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