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28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spacing w:line="400" w:lineRule="atLeast" w:before="73"/>
        <w:ind w:left="108" w:right="7015" w:firstLine="0"/>
        <w:jc w:val="left"/>
        <w:rPr>
          <w:b/>
          <w:sz w:val="19"/>
        </w:rPr>
      </w:pPr>
      <w:r>
        <w:rPr>
          <w:sz w:val="19"/>
        </w:rPr>
        <w:t>The following persons have applied to the Chief Executive Officer for a Customs broker's licence: </w:t>
      </w:r>
      <w:r>
        <w:rPr>
          <w:b/>
          <w:sz w:val="19"/>
          <w:u w:val="single"/>
        </w:rPr>
        <w:t>KEITH IVES LOGISTICS PTY LTD</w:t>
      </w:r>
    </w:p>
    <w:p>
      <w:pPr>
        <w:spacing w:line="237" w:lineRule="auto" w:before="5"/>
        <w:ind w:left="108" w:right="14190" w:firstLine="0"/>
        <w:jc w:val="left"/>
        <w:rPr>
          <w:b/>
          <w:sz w:val="19"/>
        </w:rPr>
      </w:pPr>
      <w:r>
        <w:rPr>
          <w:b/>
          <w:sz w:val="19"/>
        </w:rPr>
        <w:t>26 Murray St East Devonport Tasmania 7310</w:t>
      </w:r>
    </w:p>
    <w:p>
      <w:pPr>
        <w:pStyle w:val="BodyText"/>
        <w:spacing w:before="7"/>
        <w:ind w:left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2"/>
        <w:gridCol w:w="8551"/>
      </w:tblGrid>
      <w:tr>
        <w:trPr>
          <w:trHeight w:val="404" w:hRule="atLeast"/>
        </w:trPr>
        <w:tc>
          <w:tcPr>
            <w:tcW w:w="704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8551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704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Keith Maxwell IVES</w:t>
            </w:r>
          </w:p>
        </w:tc>
        <w:tc>
          <w:tcPr>
            <w:tcW w:w="8551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David MEREDITH (Lic Number: 03898)</w:t>
            </w:r>
          </w:p>
        </w:tc>
      </w:tr>
      <w:tr>
        <w:trPr>
          <w:trHeight w:val="404" w:hRule="atLeast"/>
        </w:trPr>
        <w:tc>
          <w:tcPr>
            <w:tcW w:w="7042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John David MEREDITH</w:t>
            </w:r>
          </w:p>
        </w:tc>
        <w:tc>
          <w:tcPr>
            <w:tcW w:w="8551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John David MEREDITH (Lic Number: 03898)</w:t>
            </w:r>
          </w:p>
        </w:tc>
      </w:tr>
    </w:tbl>
    <w:p>
      <w:pPr>
        <w:pStyle w:val="BodyText"/>
        <w:spacing w:line="400" w:lineRule="atLeast" w:before="5"/>
        <w:ind w:right="4790"/>
      </w:pPr>
      <w:r>
        <w:rPr/>
        <w:t>Any person wishing to make written representation in respect of this application should address their correspondence to: Australian Customs Service</w:t>
      </w:r>
    </w:p>
    <w:p>
      <w:pPr>
        <w:pStyle w:val="BodyText"/>
        <w:spacing w:line="237" w:lineRule="auto" w:before="6"/>
        <w:ind w:right="13630"/>
      </w:pPr>
      <w:r>
        <w:rPr/>
        <w:t>Broker Licensing Group 5 Constitution Avenue</w:t>
      </w:r>
    </w:p>
    <w:p>
      <w:pPr>
        <w:pStyle w:val="BodyText"/>
        <w:spacing w:line="217" w:lineRule="exact"/>
      </w:pPr>
      <w:r>
        <w:rPr/>
        <w:t>CANBERRA ACT 2601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t>By 20 June 2002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37" w:lineRule="auto"/>
        <w:ind w:right="13978"/>
      </w:pPr>
      <w:r>
        <w:rPr/>
        <w:t>Ken Riordan National Manager</w:t>
      </w:r>
    </w:p>
    <w:p>
      <w:pPr>
        <w:pStyle w:val="BodyText"/>
        <w:spacing w:line="237" w:lineRule="auto" w:before="1"/>
        <w:ind w:right="12490"/>
      </w:pPr>
      <w:r>
        <w:rPr/>
        <w:t>Import/Export Management Branch For</w:t>
      </w:r>
    </w:p>
    <w:p>
      <w:pPr>
        <w:pStyle w:val="BodyText"/>
        <w:spacing w:line="446" w:lineRule="auto"/>
        <w:ind w:right="13630"/>
      </w:pPr>
      <w:r>
        <w:rPr/>
        <w:t>Chief Executive Officer 03 June 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2020-12-09T22:53:31Z</dcterms:created>
  <dcterms:modified xsi:type="dcterms:W3CDTF">2020-12-09T22:53:31Z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