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2002 38</w:t>
      </w:r>
    </w:p>
    <w:p>
      <w:pPr>
        <w:spacing w:before="390"/>
        <w:ind w:left="100" w:right="0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Penalties and the Infringement Notice Scheme</w:t>
      </w:r>
    </w:p>
    <w:p>
      <w:pPr>
        <w:pStyle w:val="BodyText"/>
        <w:spacing w:before="282"/>
      </w:pPr>
      <w:r>
        <w:rPr/>
        <w:t>On 1 July 2002, the following offence provisions commence as part of the package of trade modernisation legislation: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line="241" w:lineRule="exact"/>
        <w:ind w:left="393"/>
      </w:pPr>
      <w:r>
        <w:rPr/>
        <w:pict>
          <v:shape style="position:absolute;margin-left:38.75pt;margin-top:5.348877pt;width:3pt;height:3pt;mso-position-horizontal-relative:page;mso-position-vertical-relative:paragraph;z-index:15728640" coordorigin="775,107" coordsize="60,60" path="m805,167l792,165,783,159,777,150,775,137,777,124,783,114,792,109,805,107,818,109,828,114,833,124,835,137,833,150,828,159,818,165,805,167xe" filled="true" fillcolor="#000000" stroked="false">
            <v:path arrowok="t"/>
            <v:fill type="solid"/>
            <w10:wrap type="none"/>
          </v:shape>
        </w:pict>
      </w:r>
      <w:r>
        <w:rPr/>
        <w:t>False or misleading statements resulting in loss of duty (section 243T);</w:t>
      </w:r>
    </w:p>
    <w:p>
      <w:pPr>
        <w:pStyle w:val="BodyText"/>
        <w:ind w:left="393" w:right="1171"/>
      </w:pPr>
      <w:r>
        <w:rPr/>
        <w:pict>
          <v:shape style="position:absolute;margin-left:38.75pt;margin-top:5.348877pt;width:3pt;height:3pt;mso-position-horizontal-relative:page;mso-position-vertical-relative:paragraph;z-index:15729152" coordorigin="775,107" coordsize="60,60" path="m805,167l792,165,783,159,777,150,775,137,777,124,783,114,792,109,805,107,818,109,828,114,833,124,835,137,833,150,828,159,818,165,805,16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8.75pt;margin-top:17.348877pt;width:3pt;height:3pt;mso-position-horizontal-relative:page;mso-position-vertical-relative:paragraph;z-index:15729664" coordorigin="775,347" coordsize="60,60" path="m805,407l792,405,783,399,777,390,775,377,777,364,783,354,792,349,805,347,818,349,828,354,833,364,835,377,833,390,828,399,818,405,805,407xe" filled="true" fillcolor="#000000" stroked="false">
            <v:path arrowok="t"/>
            <v:fill type="solid"/>
            <w10:wrap type="none"/>
          </v:shape>
        </w:pict>
      </w:r>
      <w:r>
        <w:rPr/>
        <w:t>Moving, altering or interfering with goods subject to Customs control without authority (s 33); False or misleading statements not resulting in loss of duty (s 243U); and</w:t>
      </w:r>
    </w:p>
    <w:p>
      <w:pPr>
        <w:pStyle w:val="BodyText"/>
        <w:spacing w:line="238" w:lineRule="exact"/>
        <w:ind w:left="393"/>
      </w:pPr>
      <w:r>
        <w:rPr/>
        <w:pict>
          <v:shape style="position:absolute;margin-left:38.75pt;margin-top:5.200928pt;width:3pt;height:3pt;mso-position-horizontal-relative:page;mso-position-vertical-relative:paragraph;z-index:15730176" coordorigin="775,104" coordsize="60,60" path="m805,164l792,162,783,157,777,147,775,134,777,121,783,112,792,106,805,104,818,106,828,112,833,121,835,134,833,147,828,157,818,162,805,164xe" filled="true" fillcolor="#000000" stroked="false">
            <v:path arrowok="t"/>
            <v:fill type="solid"/>
            <w10:wrap type="none"/>
          </v:shape>
        </w:pict>
      </w:r>
      <w:r>
        <w:rPr/>
        <w:t>Exporting goods without entry or authority to deal (s 113).</w:t>
      </w:r>
    </w:p>
    <w:p>
      <w:pPr>
        <w:pStyle w:val="BodyText"/>
        <w:spacing w:line="446" w:lineRule="auto"/>
        <w:ind w:right="441"/>
      </w:pPr>
      <w:r>
        <w:rPr/>
        <w:t>From 1 July 2002, infringement notices may be served for offences under sections 243T and 33 only. As of 1 January 2003, notices may also be served for section 243U and 113 offences.</w:t>
      </w:r>
    </w:p>
    <w:p>
      <w:pPr>
        <w:pStyle w:val="BodyText"/>
        <w:ind w:right="86"/>
      </w:pPr>
      <w:r>
        <w:rPr>
          <w:b/>
        </w:rPr>
        <w:t>Guidelines </w:t>
      </w:r>
      <w:r>
        <w:rPr/>
        <w:t>on the administration of the infringement notice scheme are available electronically at Customs website </w:t>
      </w:r>
      <w:hyperlink r:id="rId5">
        <w:r>
          <w:rPr>
            <w:color w:val="0F64C7"/>
            <w:u w:val="single" w:color="0F64C7"/>
          </w:rPr>
          <w:t>www.customs.gov.au</w:t>
        </w:r>
      </w:hyperlink>
      <w:r>
        <w:rPr/>
        <w:t>, then click on 'CMR', then click on the blue tab 'Phase 1 - July 2002.</w:t>
      </w:r>
    </w:p>
    <w:p>
      <w:pPr>
        <w:pStyle w:val="BodyText"/>
        <w:ind w:left="0"/>
        <w:rPr>
          <w:sz w:val="18"/>
        </w:rPr>
      </w:pPr>
    </w:p>
    <w:p>
      <w:pPr>
        <w:pStyle w:val="Heading1"/>
        <w:ind w:right="8636"/>
      </w:pPr>
      <w:r>
        <w:rPr/>
        <w:t>P. G. Burns for</w:t>
      </w:r>
    </w:p>
    <w:p>
      <w:pPr>
        <w:spacing w:line="238" w:lineRule="exact" w:before="0"/>
        <w:ind w:left="100" w:right="0" w:firstLine="0"/>
        <w:jc w:val="left"/>
        <w:rPr>
          <w:b/>
          <w:sz w:val="21"/>
        </w:rPr>
      </w:pPr>
      <w:r>
        <w:rPr>
          <w:b/>
          <w:sz w:val="21"/>
        </w:rPr>
        <w:t>(L B WOODWARD)</w:t>
      </w:r>
    </w:p>
    <w:p>
      <w:pPr>
        <w:pStyle w:val="Heading1"/>
        <w:spacing w:line="446" w:lineRule="auto"/>
        <w:ind w:right="7720"/>
      </w:pPr>
      <w:r>
        <w:rPr/>
        <w:t>Chief Executive Officer June 2002</w:t>
      </w:r>
    </w:p>
    <w:sectPr>
      <w:type w:val="continuous"/>
      <w:pgSz w:w="11900" w:h="16840"/>
      <w:pgMar w:top="700" w:bottom="280" w:left="600" w:right="1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" w:hAnsi="Arial" w:eastAsia="Arial" w:cs="Arial"/>
      <w:sz w:val="21"/>
      <w:szCs w:val="21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21"/>
      <w:szCs w:val="21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borderauthor.border.gov.au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2020-12-09T23:01:51Z</dcterms:created>
  <dcterms:modified xsi:type="dcterms:W3CDTF">2020-12-09T23:01:51Z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