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40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ind w:left="100"/>
        <w:rPr>
          <w:b/>
        </w:rPr>
      </w:pPr>
      <w:r>
        <w:rPr/>
        <w:t>The following persons have applied to the Chief Executive Officer for a customs broker's licence: </w:t>
      </w:r>
      <w:r>
        <w:rPr>
          <w:b/>
          <w:u w:val="single"/>
        </w:rPr>
        <w:t>Corporate application</w:t>
      </w:r>
    </w:p>
    <w:p>
      <w:pPr>
        <w:pStyle w:val="BodyText"/>
        <w:spacing w:before="1"/>
        <w:ind w:left="100" w:right="6599"/>
      </w:pPr>
      <w:r>
        <w:rPr/>
        <w:t>Customs Brokers Service Pty Ltd 46 Dudley St</w:t>
      </w:r>
    </w:p>
    <w:p>
      <w:pPr>
        <w:pStyle w:val="BodyText"/>
        <w:spacing w:line="239" w:lineRule="exact"/>
        <w:ind w:left="100"/>
      </w:pPr>
      <w:r>
        <w:rPr/>
        <w:t>Rydalmere NSW 2116</w:t>
      </w:r>
    </w:p>
    <w:p>
      <w:pPr>
        <w:pStyle w:val="BodyText"/>
        <w:rPr>
          <w:sz w:val="22"/>
        </w:rPr>
      </w:pPr>
    </w:p>
    <w:p>
      <w:pPr>
        <w:spacing w:before="196"/>
        <w:ind w:left="100" w:right="7637" w:firstLine="0"/>
        <w:jc w:val="left"/>
        <w:rPr>
          <w:sz w:val="21"/>
        </w:rPr>
      </w:pPr>
      <w:r>
        <w:rPr>
          <w:i/>
          <w:sz w:val="21"/>
        </w:rPr>
        <w:t>Persons in authority </w:t>
      </w:r>
      <w:r>
        <w:rPr>
          <w:sz w:val="21"/>
        </w:rPr>
        <w:t>Paul Charles Williams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Nominee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/>
        <w:t>Paul Charles Williams (License No: 03970)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84"/>
      </w:pPr>
      <w:r>
        <w:rPr/>
        <w:pict>
          <v:rect style="position:absolute;margin-left:47.75pt;margin-top:24.098877pt;width:3pt;height:76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pStyle w:val="Heading1"/>
        <w:spacing w:line="240" w:lineRule="auto" w:before="193"/>
        <w:ind w:right="5336"/>
      </w:pPr>
      <w:r>
        <w:rPr>
          <w:color w:val="585858"/>
        </w:rPr>
        <w:t>Australian Customs Service Broker Licensing Group</w:t>
      </w:r>
    </w:p>
    <w:p>
      <w:pPr>
        <w:spacing w:line="283" w:lineRule="exact"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before="10"/>
        <w:rPr>
          <w:rFonts w:ascii="Georgia"/>
          <w:i/>
          <w:sz w:val="39"/>
        </w:rPr>
      </w:pPr>
    </w:p>
    <w:p>
      <w:pPr>
        <w:pStyle w:val="BodyText"/>
        <w:ind w:left="100"/>
      </w:pPr>
      <w:r>
        <w:rPr/>
        <w:t>By 18 July 2002</w:t>
      </w:r>
    </w:p>
    <w:p>
      <w:pPr>
        <w:pStyle w:val="BodyText"/>
        <w:rPr>
          <w:sz w:val="22"/>
        </w:rPr>
      </w:pPr>
    </w:p>
    <w:p>
      <w:pPr>
        <w:pStyle w:val="Heading2"/>
        <w:spacing w:before="195"/>
        <w:ind w:right="7929"/>
      </w:pPr>
      <w:r>
        <w:rPr/>
        <w:t>Ken Riordan National Manager</w:t>
      </w:r>
    </w:p>
    <w:p>
      <w:pPr>
        <w:spacing w:line="237" w:lineRule="auto" w:before="0"/>
        <w:ind w:left="100" w:right="6179" w:firstLine="0"/>
        <w:jc w:val="left"/>
        <w:rPr>
          <w:b/>
          <w:sz w:val="21"/>
        </w:rPr>
      </w:pPr>
      <w:r>
        <w:rPr>
          <w:b/>
          <w:sz w:val="21"/>
        </w:rPr>
        <w:t>Import/Export Management Branch For</w:t>
      </w:r>
    </w:p>
    <w:p>
      <w:pPr>
        <w:spacing w:line="446" w:lineRule="auto" w:before="0"/>
        <w:ind w:left="100" w:right="7380" w:firstLine="0"/>
        <w:jc w:val="left"/>
        <w:rPr>
          <w:sz w:val="21"/>
        </w:rPr>
      </w:pPr>
      <w:r>
        <w:rPr>
          <w:b/>
          <w:sz w:val="21"/>
        </w:rPr>
        <w:t>Chief Executive Officer </w:t>
      </w:r>
      <w:r>
        <w:rPr>
          <w:sz w:val="21"/>
        </w:rPr>
        <w:t>03 July 2002</w:t>
      </w:r>
    </w:p>
    <w:sectPr>
      <w:type w:val="continuous"/>
      <w:pgSz w:w="11900" w:h="16840"/>
      <w:pgMar w:top="700" w:bottom="280" w:left="6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283" w:lineRule="exact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2020-12-09T22:17:53Z</dcterms:created>
  <dcterms:modified xsi:type="dcterms:W3CDTF">2020-12-09T22:17:53Z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