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3"/>
        <w:rPr>
          <w:sz w:val="20"/>
        </w:rPr>
      </w:pPr>
      <w:r>
        <w:rPr>
          <w:sz w:val="20"/>
        </w:rPr>
        <w:drawing>
          <wp:inline distT="0" distB="0" distL="0" distR="0">
            <wp:extent cx="2100392" cy="9247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392" cy="9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Title"/>
        <w:ind w:left="1260" w:right="1310" w:firstLine="0"/>
        <w:jc w:val="center"/>
      </w:pPr>
      <w:r>
        <w:rPr/>
        <w:t>AUSTRALIAN CUSTOMS NOTICE NO. 2003/50</w:t>
      </w:r>
    </w:p>
    <w:p>
      <w:pPr>
        <w:pStyle w:val="BodyText"/>
        <w:spacing w:before="6"/>
        <w:rPr>
          <w:b/>
        </w:rPr>
      </w:pPr>
      <w:r>
        <w:rPr/>
        <w:pict>
          <v:rect style="position:absolute;margin-left:88.5pt;margin-top:16.084492pt;width:418.32pt;height:1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b/>
          <w:sz w:val="17"/>
        </w:rPr>
      </w:pPr>
    </w:p>
    <w:p>
      <w:pPr>
        <w:pStyle w:val="Title"/>
      </w:pPr>
      <w:r>
        <w:rPr/>
        <w:t>Customs Tariff Amendment Act (No. 1) 2003 – preferential tariffs (including Least Developed Countries and Singapore)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1"/>
        <w:ind w:left="140" w:right="348" w:firstLine="0"/>
        <w:jc w:val="left"/>
        <w:rPr>
          <w:sz w:val="24"/>
        </w:rPr>
      </w:pPr>
      <w:r>
        <w:rPr>
          <w:i/>
          <w:sz w:val="24"/>
        </w:rPr>
        <w:t>Customs Tariff Amendment Act (No. 1) 2003 </w:t>
      </w:r>
      <w:r>
        <w:rPr>
          <w:sz w:val="24"/>
        </w:rPr>
        <w:t>(the Act), which received Royal Assent on 30 June 2003, makes the following changes to the </w:t>
      </w:r>
      <w:r>
        <w:rPr>
          <w:i/>
          <w:sz w:val="24"/>
        </w:rPr>
        <w:t>Customs Tariff Act 1995 </w:t>
      </w:r>
      <w:r>
        <w:rPr>
          <w:sz w:val="24"/>
        </w:rPr>
        <w:t>(the Tariff):</w:t>
      </w:r>
    </w:p>
    <w:p>
      <w:pPr>
        <w:pStyle w:val="BodyText"/>
        <w:spacing w:before="1"/>
      </w:pPr>
    </w:p>
    <w:p>
      <w:pPr>
        <w:spacing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East Timor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679" w:right="95"/>
      </w:pPr>
      <w:r>
        <w:rPr/>
        <w:t>lists East Timor as a Developing Country for the purposes of Part 3 of Schedule 1 of the Tariff. This change was previously included in Customs Tariff Proposal No. 2 (2003). ACN No. 2003/23 refers.</w:t>
      </w:r>
    </w:p>
    <w:p>
      <w:pPr>
        <w:pStyle w:val="BodyText"/>
        <w:spacing w:before="1"/>
      </w:pPr>
    </w:p>
    <w:p>
      <w:pPr>
        <w:spacing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Least Developed Countries (LDCs)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679" w:right="289"/>
      </w:pPr>
      <w:r>
        <w:rPr/>
        <w:t>amends the Tariff to define Least Developed Countries (LDCs) and to provide for the duty-free entry of goods originating in LDCs, from 1 July 2003. ACN No. 2003/48 provides details on the rules of origin for LDC preference and lists the countries eligible for duty-free entry.</w:t>
      </w:r>
    </w:p>
    <w:p>
      <w:pPr>
        <w:pStyle w:val="BodyText"/>
        <w:spacing w:before="1"/>
      </w:pPr>
    </w:p>
    <w:p>
      <w:pPr>
        <w:spacing w:before="0"/>
        <w:ind w:left="139" w:right="0" w:firstLine="0"/>
        <w:jc w:val="left"/>
        <w:rPr>
          <w:i/>
          <w:sz w:val="24"/>
        </w:rPr>
      </w:pPr>
      <w:r>
        <w:rPr>
          <w:i/>
          <w:sz w:val="24"/>
        </w:rPr>
        <w:t>Singapore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680" w:right="267"/>
      </w:pPr>
      <w:r>
        <w:rPr/>
        <w:t>provides for the duty-free entry of goods from Singapore in accordance with the Singapore-Australia Free Trade Agreement (SAFTA). These amendments will come into effect when SAFTA enters into force (expected to be early in the 2003-04 financial year). Rules of origin for SAFTA will be detailed in ACN 2003/49, which will be released closer to the commencement of SAFTA. COMPILE information regarding preference indicator changes for SAFTA will also be advised in ACN No. 2003/49.</w:t>
      </w:r>
    </w:p>
    <w:p>
      <w:pPr>
        <w:pStyle w:val="BodyText"/>
        <w:spacing w:before="2"/>
      </w:pPr>
    </w:p>
    <w:p>
      <w:pPr>
        <w:spacing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Country Codes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ind w:left="680" w:right="95"/>
      </w:pPr>
      <w:r>
        <w:rPr/>
        <w:t>introduces two-character International Standards Organization (ISO) Country Codes throughout the Tariff, in anticipation of the commencement of the Integrated Cargo System on 1 July 2004. Existing three- and four- letter country codes will continue to operate for entry processing purposes until that time.</w:t>
      </w:r>
    </w:p>
    <w:p>
      <w:pPr>
        <w:spacing w:after="0"/>
        <w:sectPr>
          <w:type w:val="continuous"/>
          <w:pgSz w:w="11900" w:h="16840"/>
          <w:pgMar w:top="1440" w:bottom="280" w:left="1660" w:right="1600"/>
        </w:sectPr>
      </w:pPr>
    </w:p>
    <w:p>
      <w:pPr>
        <w:pStyle w:val="BodyText"/>
        <w:spacing w:before="76"/>
        <w:ind w:left="1259" w:right="1310"/>
        <w:jc w:val="center"/>
      </w:pPr>
      <w:r>
        <w:rPr/>
        <w:t>-2-</w:t>
      </w:r>
    </w:p>
    <w:p>
      <w:pPr>
        <w:pStyle w:val="BodyText"/>
        <w:spacing w:before="4"/>
        <w:rPr>
          <w:sz w:val="16"/>
        </w:rPr>
      </w:pPr>
    </w:p>
    <w:p>
      <w:pPr>
        <w:spacing w:before="9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Papua New Guinea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680" w:right="395"/>
      </w:pPr>
      <w:r>
        <w:rPr/>
        <w:t>inserts Papua New Guinea in the list of Forum Island Countries. While Papua New Guinea is a Forum Island Country, this has not been formally reflected in the Tariff. The treatment of imports from Papua New Guinea will not be affected by this change.</w:t>
      </w:r>
    </w:p>
    <w:p>
      <w:pPr>
        <w:pStyle w:val="BodyText"/>
        <w:spacing w:before="1"/>
      </w:pPr>
    </w:p>
    <w:p>
      <w:pPr>
        <w:spacing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Palau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679" w:right="267"/>
      </w:pPr>
      <w:r>
        <w:rPr/>
        <w:t>removes Palau from the list of Places Treated as Developing Countries in Division 2 of Part 3 of Schedule 1, and includes it in the list of Developing Countries in Division 1 of Part 3 of Schedule 1. This amendment will not affect the treatment of goods from Palau but reflects Palau’s status as an independent state.</w:t>
      </w:r>
    </w:p>
    <w:p>
      <w:pPr>
        <w:pStyle w:val="BodyText"/>
        <w:spacing w:before="2"/>
      </w:pPr>
    </w:p>
    <w:p>
      <w:pPr>
        <w:spacing w:before="0"/>
        <w:ind w:left="13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Tariff Reprint Pages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0"/>
        <w:ind w:left="140" w:right="282"/>
      </w:pPr>
      <w:r>
        <w:rPr/>
        <w:t>Tariff reprint pages relevant to the above amendments will be issued progressively as other changes are made. Those pages containing the </w:t>
      </w:r>
      <w:r>
        <w:rPr>
          <w:i/>
        </w:rPr>
        <w:t>Customs Tariff Act 1995 </w:t>
      </w:r>
      <w:r>
        <w:rPr/>
        <w:t>and Schedule 1 (countries eligible for preferential rates of duty) will be issued as soon as possible.</w:t>
      </w:r>
    </w:p>
    <w:p>
      <w:pPr>
        <w:pStyle w:val="BodyText"/>
        <w:tabs>
          <w:tab w:pos="3380" w:val="left" w:leader="none"/>
        </w:tabs>
        <w:spacing w:line="550" w:lineRule="atLeast" w:before="2"/>
        <w:ind w:left="140" w:right="2831"/>
      </w:pPr>
      <w:r>
        <w:rPr/>
        <w:t>Any queries regarding these changes should be directed to: for rules of origin:</w:t>
        <w:tab/>
        <w:t>Manager</w:t>
      </w:r>
    </w:p>
    <w:p>
      <w:pPr>
        <w:pStyle w:val="BodyText"/>
        <w:spacing w:before="1"/>
        <w:ind w:left="3380"/>
      </w:pPr>
      <w:r>
        <w:rPr/>
        <w:t>Origin</w:t>
      </w:r>
    </w:p>
    <w:p>
      <w:pPr>
        <w:pStyle w:val="BodyText"/>
        <w:ind w:left="3380" w:right="2560"/>
      </w:pPr>
      <w:r>
        <w:rPr/>
        <w:t>Australian Customs Service CANBERRA ACT 2600</w:t>
      </w:r>
    </w:p>
    <w:p>
      <w:pPr>
        <w:pStyle w:val="BodyText"/>
        <w:ind w:left="3380"/>
      </w:pPr>
      <w:r>
        <w:rPr/>
        <w:t>Ph: (02) 621 68703</w:t>
      </w:r>
    </w:p>
    <w:p>
      <w:pPr>
        <w:pStyle w:val="BodyText"/>
      </w:pPr>
    </w:p>
    <w:p>
      <w:pPr>
        <w:pStyle w:val="BodyText"/>
        <w:tabs>
          <w:tab w:pos="3381" w:val="left" w:leader="none"/>
        </w:tabs>
        <w:ind w:left="140"/>
      </w:pPr>
      <w:r>
        <w:rPr/>
        <w:t>for customs tariff</w:t>
      </w:r>
      <w:r>
        <w:rPr>
          <w:spacing w:val="-1"/>
        </w:rPr>
        <w:t> </w:t>
      </w:r>
      <w:r>
        <w:rPr/>
        <w:t>duty</w:t>
      </w:r>
      <w:r>
        <w:rPr>
          <w:spacing w:val="6"/>
        </w:rPr>
        <w:t> </w:t>
      </w:r>
      <w:r>
        <w:rPr/>
        <w:t>rates:</w:t>
        <w:tab/>
        <w:t>Manager</w:t>
      </w:r>
    </w:p>
    <w:p>
      <w:pPr>
        <w:pStyle w:val="BodyText"/>
        <w:ind w:left="3380" w:right="1293"/>
      </w:pPr>
      <w:r>
        <w:rPr/>
        <w:t>Tariff Legislation and External </w:t>
      </w:r>
      <w:r>
        <w:rPr>
          <w:spacing w:val="-3"/>
        </w:rPr>
        <w:t>Review </w:t>
      </w:r>
      <w:r>
        <w:rPr/>
        <w:t>Australian Customs Service CANBERRA ACT</w:t>
      </w:r>
      <w:r>
        <w:rPr>
          <w:spacing w:val="55"/>
        </w:rPr>
        <w:t> </w:t>
      </w:r>
      <w:r>
        <w:rPr/>
        <w:t>2600</w:t>
      </w:r>
    </w:p>
    <w:p>
      <w:pPr>
        <w:pStyle w:val="BodyText"/>
        <w:ind w:left="3380"/>
      </w:pPr>
      <w:r>
        <w:rPr/>
        <w:t>Ph: (02) 627 56486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140"/>
      </w:pPr>
      <w:r>
        <w:rPr/>
        <w:t>J H Jeffery</w:t>
      </w:r>
    </w:p>
    <w:p>
      <w:pPr>
        <w:pStyle w:val="BodyText"/>
        <w:ind w:left="140" w:right="5407"/>
      </w:pPr>
      <w:r>
        <w:rPr/>
        <w:t>Deputy Chief Executive Officer for</w:t>
      </w:r>
    </w:p>
    <w:p>
      <w:pPr>
        <w:pStyle w:val="BodyText"/>
        <w:spacing w:line="280" w:lineRule="auto"/>
        <w:ind w:left="680" w:right="6174" w:hanging="540"/>
      </w:pPr>
      <w:r>
        <w:rPr/>
        <w:t>Chief Executive Officer July 2003</w:t>
      </w:r>
    </w:p>
    <w:sectPr>
      <w:pgSz w:w="11900" w:h="16840"/>
      <w:pgMar w:top="1360" w:bottom="280" w:left="16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092" w:right="393" w:hanging="735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2003/50</dc:title>
  <dcterms:created xsi:type="dcterms:W3CDTF">2020-12-09T23:02:49Z</dcterms:created>
  <dcterms:modified xsi:type="dcterms:W3CDTF">2020-12-09T23:02:49Z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2003-07-09T00:00:00Z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