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64"/>
        <w:rPr>
          <w:sz w:val="20"/>
        </w:rPr>
      </w:pPr>
      <w:r>
        <w:rPr>
          <w:sz w:val="20"/>
        </w:rPr>
        <w:drawing>
          <wp:inline distT="0" distB="0" distL="0" distR="0">
            <wp:extent cx="2075727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72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</w:p>
    <w:p>
      <w:pPr>
        <w:pStyle w:val="Title"/>
      </w:pPr>
      <w:r>
        <w:rPr/>
        <w:t>AUSTRALIAN CUSTOMS NOTICE NO. 2003/53</w:t>
      </w:r>
    </w:p>
    <w:p>
      <w:pPr>
        <w:pStyle w:val="BodyText"/>
        <w:spacing w:before="8"/>
        <w:rPr>
          <w:b/>
          <w:sz w:val="8"/>
        </w:rPr>
      </w:pPr>
      <w:r>
        <w:rPr/>
        <w:pict>
          <v:rect style="position:absolute;margin-left:83.580002pt;margin-top:6.982549pt;width:428.22pt;height:.71997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b/>
          <w:sz w:val="10"/>
        </w:rPr>
      </w:pPr>
    </w:p>
    <w:p>
      <w:pPr>
        <w:spacing w:before="88"/>
        <w:ind w:left="484" w:right="0" w:firstLine="0"/>
        <w:jc w:val="left"/>
        <w:rPr>
          <w:rFonts w:ascii="TimesNewRomanPS-BoldItalicMT"/>
          <w:b/>
          <w:i/>
          <w:sz w:val="28"/>
        </w:rPr>
      </w:pPr>
      <w:r>
        <w:rPr>
          <w:b/>
          <w:sz w:val="28"/>
        </w:rPr>
        <w:t>Amendment to the </w:t>
      </w:r>
      <w:r>
        <w:rPr>
          <w:rFonts w:ascii="TimesNewRomanPS-BoldItalicMT"/>
          <w:b/>
          <w:i/>
          <w:sz w:val="28"/>
        </w:rPr>
        <w:t>Customs (Prohibited Imports) Regulations 1956</w:t>
      </w:r>
    </w:p>
    <w:p>
      <w:pPr>
        <w:spacing w:before="240"/>
        <w:ind w:left="141" w:right="607" w:firstLine="0"/>
        <w:jc w:val="left"/>
        <w:rPr>
          <w:sz w:val="24"/>
        </w:rPr>
      </w:pPr>
      <w:r>
        <w:rPr>
          <w:sz w:val="24"/>
        </w:rPr>
        <w:t>The following amendment to the </w:t>
      </w:r>
      <w:r>
        <w:rPr>
          <w:i/>
          <w:sz w:val="24"/>
        </w:rPr>
        <w:t>Customs (Prohibited Imports) Regulations 1956 </w:t>
      </w:r>
      <w:r>
        <w:rPr>
          <w:sz w:val="24"/>
        </w:rPr>
        <w:t>(the Regulations) was notified in Special Gazette No. S320 of 21 August 2003 and commenced on the same day.</w:t>
      </w:r>
    </w:p>
    <w:p>
      <w:pPr>
        <w:pStyle w:val="BodyText"/>
      </w:pPr>
    </w:p>
    <w:p>
      <w:pPr>
        <w:spacing w:before="0"/>
        <w:ind w:left="141" w:right="175" w:firstLine="0"/>
        <w:jc w:val="left"/>
        <w:rPr>
          <w:sz w:val="24"/>
        </w:rPr>
      </w:pPr>
      <w:r>
        <w:rPr>
          <w:sz w:val="24"/>
        </w:rPr>
        <w:t>The amendment has been made at the request of the Parliamentary Secretary to the Treasurer, the Minister administering Part V of the Trade </w:t>
      </w:r>
      <w:r>
        <w:rPr>
          <w:i/>
          <w:sz w:val="24"/>
        </w:rPr>
        <w:t>Practices Act 1974, </w:t>
      </w:r>
      <w:r>
        <w:rPr>
          <w:sz w:val="24"/>
        </w:rPr>
        <w:t>to reflect recent amendments to the </w:t>
      </w:r>
      <w:r>
        <w:rPr>
          <w:i/>
          <w:sz w:val="24"/>
        </w:rPr>
        <w:t>Trade Practices (Consumer Product Safety Standard) (Cigarette Lighters) Regulations 1997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ind w:left="141" w:right="513"/>
      </w:pPr>
      <w:r>
        <w:rPr/>
        <w:t>Regulation 4S of the Regulations controls the importation of lighters into Australia. Under this control, a lighter is defined as a “disposable lighter, novelty lighter or refillable lighter”.</w:t>
      </w:r>
    </w:p>
    <w:p>
      <w:pPr>
        <w:pStyle w:val="BodyText"/>
      </w:pPr>
    </w:p>
    <w:p>
      <w:pPr>
        <w:pStyle w:val="BodyText"/>
        <w:ind w:left="141" w:right="102"/>
      </w:pPr>
      <w:r>
        <w:rPr/>
        <w:t>The maximum value of a refillable lighter subject to Regulation 4S has been amended from a customs value of $2 to $5. Accordingly, the new definition of a refillable lighter is:-</w:t>
      </w:r>
    </w:p>
    <w:p>
      <w:pPr>
        <w:pStyle w:val="BodyText"/>
      </w:pPr>
    </w:p>
    <w:p>
      <w:pPr>
        <w:pStyle w:val="BodyText"/>
        <w:ind w:left="381"/>
      </w:pPr>
      <w:r>
        <w:rPr/>
        <w:t>“a flame producing device that:</w:t>
      </w:r>
    </w:p>
    <w:p>
      <w:pPr>
        <w:pStyle w:val="ListParagraph"/>
        <w:numPr>
          <w:ilvl w:val="0"/>
          <w:numId w:val="1"/>
        </w:numPr>
        <w:tabs>
          <w:tab w:pos="1222" w:val="left" w:leader="none"/>
        </w:tabs>
        <w:spacing w:line="240" w:lineRule="auto" w:before="0" w:after="0"/>
        <w:ind w:left="1221" w:right="0" w:hanging="361"/>
        <w:jc w:val="left"/>
        <w:rPr>
          <w:sz w:val="24"/>
        </w:rPr>
      </w:pPr>
      <w:r>
        <w:rPr>
          <w:sz w:val="24"/>
        </w:rPr>
        <w:t>is designed to light cigarettes, cigars or pipes;</w:t>
      </w:r>
      <w:r>
        <w:rPr>
          <w:spacing w:val="-10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"/>
        </w:numPr>
        <w:tabs>
          <w:tab w:pos="1222" w:val="left" w:leader="none"/>
        </w:tabs>
        <w:spacing w:line="240" w:lineRule="auto" w:before="0" w:after="0"/>
        <w:ind w:left="1221" w:right="0" w:hanging="361"/>
        <w:jc w:val="left"/>
        <w:rPr>
          <w:sz w:val="24"/>
        </w:rPr>
      </w:pPr>
      <w:r>
        <w:rPr>
          <w:sz w:val="24"/>
        </w:rPr>
        <w:t>is designed to be refilled with fuel;</w:t>
      </w:r>
      <w:r>
        <w:rPr>
          <w:spacing w:val="-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"/>
        </w:numPr>
        <w:tabs>
          <w:tab w:pos="1222" w:val="left" w:leader="none"/>
        </w:tabs>
        <w:spacing w:line="240" w:lineRule="auto" w:before="1" w:after="0"/>
        <w:ind w:left="1221" w:right="118" w:hanging="360"/>
        <w:jc w:val="left"/>
        <w:rPr>
          <w:sz w:val="24"/>
        </w:rPr>
      </w:pPr>
      <w:r>
        <w:rPr>
          <w:sz w:val="24"/>
        </w:rPr>
        <w:t>has a customs value, determined under section 159 of the </w:t>
      </w:r>
      <w:r>
        <w:rPr>
          <w:i/>
          <w:sz w:val="24"/>
        </w:rPr>
        <w:t>Customs Act </w:t>
      </w:r>
      <w:r>
        <w:rPr>
          <w:i/>
          <w:spacing w:val="-4"/>
          <w:sz w:val="24"/>
        </w:rPr>
        <w:t>1901</w:t>
      </w:r>
      <w:r>
        <w:rPr>
          <w:spacing w:val="-4"/>
          <w:sz w:val="24"/>
        </w:rPr>
        <w:t>, </w:t>
      </w:r>
      <w:r>
        <w:rPr>
          <w:sz w:val="24"/>
        </w:rPr>
        <w:t>of $5 or less.”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1"/>
      </w:pPr>
      <w:r>
        <w:rPr/>
        <w:t>Any enquiries on the policy supporting this change may be directed to the Consumer Safety Unit of the Treasury on (02) 6263 2747</w:t>
      </w:r>
      <w:r>
        <w:rPr>
          <w:rFonts w:ascii="Arial"/>
          <w:sz w:val="20"/>
        </w:rPr>
        <w:t>. </w:t>
      </w:r>
      <w:r>
        <w:rPr/>
        <w:t>Any administrative questions on import issues may be directed to the Customs Information Centre on 1300 363 263.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6"/>
        <w:ind w:left="141" w:right="6380"/>
      </w:pPr>
      <w:r>
        <w:rPr/>
        <w:t>Kaylene Zakharoff A/g National Manager Cargo Branch</w:t>
      </w:r>
    </w:p>
    <w:p>
      <w:pPr>
        <w:pStyle w:val="BodyText"/>
        <w:ind w:left="141"/>
      </w:pPr>
      <w:r>
        <w:rPr/>
        <w:t>for</w:t>
      </w:r>
    </w:p>
    <w:p>
      <w:pPr>
        <w:pStyle w:val="BodyText"/>
        <w:ind w:left="321" w:right="5880" w:hanging="180"/>
      </w:pPr>
      <w:r>
        <w:rPr/>
        <w:t>the Chief Executive Officer August 2003</w:t>
      </w:r>
    </w:p>
    <w:sectPr>
      <w:type w:val="continuous"/>
      <w:pgSz w:w="11900" w:h="16840"/>
      <w:pgMar w:top="1420" w:bottom="280" w:left="156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imesNewRomanPS-BoldItalicMT">
    <w:altName w:val="TimesNewRomanPS-BoldItalicMT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1221" w:hanging="36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96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359" w:right="1271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221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2003/53</dc:title>
  <dcterms:created xsi:type="dcterms:W3CDTF">2020-12-09T22:59:17Z</dcterms:created>
  <dcterms:modified xsi:type="dcterms:W3CDTF">2020-12-09T22:59:17Z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2003-09-15T00:00:00Z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2020-12-09T00:00:00Z</vt:filetime>
  </property>
</Properties>
</file>