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-1161903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AUSTRALIAN CUSTOMS NOTICE NO. 2004/18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34"/>
        <w:ind w:left="1743" w:right="1737" w:firstLine="0"/>
        <w:jc w:val="center"/>
        <w:rPr>
          <w:rFonts w:ascii="Arial-BoldItalicMT"/>
          <w:b/>
          <w:i/>
          <w:sz w:val="26"/>
        </w:rPr>
      </w:pPr>
      <w:r>
        <w:rPr>
          <w:b/>
          <w:sz w:val="26"/>
        </w:rPr>
        <w:t>Amendments to the </w:t>
      </w:r>
      <w:r>
        <w:rPr>
          <w:rFonts w:ascii="Arial-BoldItalicMT"/>
          <w:b/>
          <w:i/>
          <w:sz w:val="26"/>
        </w:rPr>
        <w:t>Customs (Prohibited Imports) Regulations 1956</w:t>
      </w:r>
    </w:p>
    <w:p>
      <w:pPr>
        <w:spacing w:before="0"/>
        <w:ind w:left="1742" w:right="1737" w:firstLine="0"/>
        <w:jc w:val="center"/>
        <w:rPr>
          <w:b/>
          <w:sz w:val="26"/>
        </w:rPr>
      </w:pPr>
      <w:r>
        <w:rPr>
          <w:b/>
          <w:sz w:val="26"/>
        </w:rPr>
        <w:t>Import of Paintball Markers</w:t>
      </w:r>
    </w:p>
    <w:p>
      <w:pPr>
        <w:pStyle w:val="BodyText"/>
        <w:rPr>
          <w:b/>
          <w:sz w:val="25"/>
        </w:rPr>
      </w:pPr>
    </w:p>
    <w:p>
      <w:pPr>
        <w:spacing w:before="0"/>
        <w:ind w:left="1701" w:right="2564" w:firstLine="0"/>
        <w:jc w:val="left"/>
        <w:rPr>
          <w:sz w:val="20"/>
        </w:rPr>
      </w:pPr>
      <w:r>
        <w:rPr>
          <w:sz w:val="20"/>
        </w:rPr>
        <w:t>The following amendments to the </w:t>
      </w:r>
      <w:r>
        <w:rPr>
          <w:i/>
          <w:sz w:val="20"/>
        </w:rPr>
        <w:t>Customs (Prohibited Imports) Regulations 1956 </w:t>
      </w:r>
      <w:r>
        <w:rPr>
          <w:sz w:val="20"/>
        </w:rPr>
        <w:t>(the Regulations) were notified in Gazette No. S133 of 30 April 2004.</w:t>
      </w:r>
    </w:p>
    <w:p>
      <w:pPr>
        <w:pStyle w:val="BodyText"/>
      </w:pPr>
    </w:p>
    <w:p>
      <w:pPr>
        <w:pStyle w:val="BodyText"/>
        <w:ind w:left="1701"/>
      </w:pPr>
      <w:r>
        <w:rPr/>
        <w:t>Regulation 4F and Schedule 6 of the Regulations restrict the importation of paintball markers.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1763"/>
      </w:pPr>
      <w:r>
        <w:rPr/>
        <w:t>The purpose of the amendments is to allow the importation of semi-automatic paintball markers and their parts into Australia under the Police Authorisation Test.</w:t>
      </w:r>
    </w:p>
    <w:p>
      <w:pPr>
        <w:pStyle w:val="BodyText"/>
      </w:pPr>
    </w:p>
    <w:p>
      <w:pPr>
        <w:pStyle w:val="BodyText"/>
        <w:ind w:left="1701" w:right="1763"/>
      </w:pPr>
      <w:r>
        <w:rPr/>
        <w:t>The amendments create a new item number, 14A, in Part 2 of Schedule 6 for single shot, repeating action and self-loading paintball markers and their parts. Both handgun markers and longarm markers of these categories are controlled under item 14A.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1763"/>
      </w:pPr>
      <w:r>
        <w:rPr/>
        <w:t>To import these types of paintball markers the importer must comply with the Police Authorisation Test by obtaining a police authorisation (B709A) prior to importation. A unique serial number on the paintball marker is also required.</w:t>
      </w:r>
    </w:p>
    <w:p>
      <w:pPr>
        <w:pStyle w:val="BodyText"/>
      </w:pPr>
    </w:p>
    <w:p>
      <w:pPr>
        <w:pStyle w:val="BodyText"/>
        <w:ind w:left="1701" w:right="2396"/>
      </w:pPr>
      <w:r>
        <w:rPr/>
        <w:t>The amendments also introduce a modified safety test specifically designed for paintball markers.</w:t>
      </w:r>
    </w:p>
    <w:p>
      <w:pPr>
        <w:pStyle w:val="BodyText"/>
      </w:pPr>
    </w:p>
    <w:p>
      <w:pPr>
        <w:pStyle w:val="BodyText"/>
        <w:ind w:left="1701" w:right="2419"/>
      </w:pPr>
      <w:r>
        <w:rPr/>
        <w:t>Paintball ammunition is now specifically included in the controls under item 20 and most importers will import under the Police Authorisation Test (B709A).</w:t>
      </w:r>
    </w:p>
    <w:p>
      <w:pPr>
        <w:pStyle w:val="BodyText"/>
      </w:pPr>
    </w:p>
    <w:p>
      <w:pPr>
        <w:pStyle w:val="BodyText"/>
        <w:ind w:left="1701" w:right="1204"/>
      </w:pPr>
      <w:r>
        <w:rPr/>
        <w:t>Automatic paintball markers and any markers that resemble automatic firearms, such as a sub- machine gun, an assault rifle, a machine gun or a machine pistol fall to item 12. These paintball markers require the Attorney-General’s permission to import, which will be granted for official purposes or specified purposes only.</w:t>
      </w:r>
    </w:p>
    <w:p>
      <w:pPr>
        <w:pStyle w:val="BodyText"/>
      </w:pPr>
    </w:p>
    <w:p>
      <w:pPr>
        <w:pStyle w:val="BodyText"/>
        <w:ind w:left="1701" w:right="1763"/>
      </w:pPr>
      <w:r>
        <w:rPr/>
        <w:t>Inquiries concerning this notice may be directed to Manager Firearms and Detained Goods on telephone number (02) 6275 5873 or fax number (02) 6275 6699.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1"/>
        <w:ind w:left="1701" w:right="8544"/>
      </w:pPr>
      <w:r>
        <w:rPr/>
        <w:t>Philomena Carnell National Manager Cargo Branch CANBERRA ACT</w:t>
      </w:r>
    </w:p>
    <w:p>
      <w:pPr>
        <w:pStyle w:val="BodyText"/>
        <w:spacing w:before="121"/>
        <w:ind w:left="1701"/>
      </w:pPr>
      <w:r>
        <w:rPr/>
        <w:t>30 April 2004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213811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8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1743" w:right="1735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C8SUY</dc:creator>
  <dc:title>Microsoft Word - Draft ACN Customs.doc</dc:title>
  <dcterms:created xsi:type="dcterms:W3CDTF">2020-12-09T22:30:50Z</dcterms:created>
  <dcterms:modified xsi:type="dcterms:W3CDTF">2020-12-09T22:30:50Z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2004-05-03T00:00:00Z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