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after="19"/>
        <w:ind w:left="2884" w:right="2876"/>
        <w:jc w:val="center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-1161903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AUSTRALIAN CUSTOMS NOTICE NO. 2004/26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  <w:spacing w:before="233"/>
      </w:pPr>
      <w:r>
        <w:rPr/>
        <w:t>Subscription Prices for Customs Publications from 1 August 2004</w:t>
      </w:r>
    </w:p>
    <w:p>
      <w:pPr>
        <w:pStyle w:val="BodyText"/>
        <w:rPr>
          <w:b/>
          <w:sz w:val="25"/>
        </w:rPr>
      </w:pPr>
    </w:p>
    <w:p>
      <w:pPr>
        <w:pStyle w:val="BodyText"/>
        <w:ind w:left="1701" w:right="1785"/>
      </w:pPr>
      <w:r>
        <w:rPr/>
        <w:t>The subscription costs for Customs publications have recently been reviewed and the following prices will apply from 1 August 2004.</w:t>
      </w:r>
    </w:p>
    <w:p>
      <w:pPr>
        <w:pStyle w:val="BodyText"/>
        <w:spacing w:before="2"/>
      </w:pPr>
    </w:p>
    <w:p>
      <w:pPr>
        <w:pStyle w:val="Heading1"/>
        <w:spacing w:after="2"/>
      </w:pPr>
      <w:r>
        <w:rPr/>
        <w:t>Within Australia Prices*</w:t>
      </w: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8"/>
        <w:gridCol w:w="2880"/>
      </w:tblGrid>
      <w:tr>
        <w:trPr>
          <w:trHeight w:val="340" w:hRule="atLeast"/>
        </w:trPr>
        <w:tc>
          <w:tcPr>
            <w:tcW w:w="2988" w:type="dxa"/>
            <w:tcBorders>
              <w:bottom w:val="nil"/>
            </w:tcBorders>
          </w:tcPr>
          <w:p>
            <w:pPr>
              <w:pStyle w:val="TableParagraph"/>
              <w:spacing w:before="53"/>
              <w:rPr>
                <w:b/>
                <w:sz w:val="20"/>
              </w:rPr>
            </w:pPr>
            <w:r>
              <w:rPr>
                <w:b/>
                <w:sz w:val="20"/>
              </w:rPr>
              <w:t>Tariff</w:t>
            </w:r>
          </w:p>
        </w:tc>
        <w:tc>
          <w:tcPr>
            <w:tcW w:w="2880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38" w:hRule="atLeast"/>
        </w:trPr>
        <w:tc>
          <w:tcPr>
            <w:tcW w:w="29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Initial Issue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106"/>
              <w:rPr>
                <w:sz w:val="20"/>
              </w:rPr>
            </w:pPr>
            <w:r>
              <w:rPr>
                <w:sz w:val="20"/>
              </w:rPr>
              <w:t>$121.95</w:t>
            </w:r>
          </w:p>
        </w:tc>
      </w:tr>
      <w:tr>
        <w:trPr>
          <w:trHeight w:val="340" w:hRule="atLeast"/>
        </w:trPr>
        <w:tc>
          <w:tcPr>
            <w:tcW w:w="29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Amendments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$32.70</w:t>
            </w:r>
          </w:p>
        </w:tc>
      </w:tr>
      <w:tr>
        <w:trPr>
          <w:trHeight w:val="339" w:hRule="atLeast"/>
        </w:trPr>
        <w:tc>
          <w:tcPr>
            <w:tcW w:w="29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sz w:val="20"/>
              </w:rPr>
              <w:t>TCO’s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39" w:hRule="atLeast"/>
        </w:trPr>
        <w:tc>
          <w:tcPr>
            <w:tcW w:w="29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Initial Issue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06"/>
              <w:rPr>
                <w:sz w:val="20"/>
              </w:rPr>
            </w:pPr>
            <w:r>
              <w:rPr>
                <w:sz w:val="20"/>
              </w:rPr>
              <w:t>$121.95</w:t>
            </w:r>
          </w:p>
        </w:tc>
      </w:tr>
      <w:tr>
        <w:trPr>
          <w:trHeight w:val="340" w:hRule="atLeast"/>
        </w:trPr>
        <w:tc>
          <w:tcPr>
            <w:tcW w:w="29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Amendments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$127.50</w:t>
            </w:r>
          </w:p>
        </w:tc>
      </w:tr>
      <w:tr>
        <w:trPr>
          <w:trHeight w:val="341" w:hRule="atLeast"/>
        </w:trPr>
        <w:tc>
          <w:tcPr>
            <w:tcW w:w="2988" w:type="dxa"/>
            <w:tcBorders>
              <w:top w:val="nil"/>
            </w:tcBorders>
          </w:tcPr>
          <w:p>
            <w:pPr>
              <w:pStyle w:val="TableParagraph"/>
              <w:spacing w:before="53"/>
              <w:rPr>
                <w:b/>
                <w:sz w:val="20"/>
              </w:rPr>
            </w:pPr>
            <w:r>
              <w:rPr>
                <w:b/>
                <w:sz w:val="20"/>
              </w:rPr>
              <w:t>ACN’s/ACDN’s #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TableParagraph"/>
              <w:spacing w:before="51"/>
              <w:ind w:left="106"/>
              <w:rPr>
                <w:sz w:val="20"/>
              </w:rPr>
            </w:pPr>
            <w:r>
              <w:rPr>
                <w:sz w:val="20"/>
              </w:rPr>
              <w:t>$53.19</w:t>
            </w:r>
          </w:p>
        </w:tc>
      </w:tr>
    </w:tbl>
    <w:p>
      <w:pPr>
        <w:pStyle w:val="BodyText"/>
        <w:ind w:left="2061"/>
      </w:pPr>
      <w:r>
        <w:rPr/>
        <w:t>*Prices in $Aust and includes GST and postage/handling.</w:t>
      </w:r>
    </w:p>
    <w:p>
      <w:pPr>
        <w:pStyle w:val="BodyText"/>
      </w:pPr>
    </w:p>
    <w:p>
      <w:pPr>
        <w:pStyle w:val="Heading1"/>
        <w:spacing w:before="1"/>
      </w:pPr>
      <w:r>
        <w:rPr/>
        <w:t>Outside Australia^</w:t>
      </w: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580"/>
        <w:gridCol w:w="1743"/>
        <w:gridCol w:w="1743"/>
        <w:gridCol w:w="1744"/>
      </w:tblGrid>
      <w:tr>
        <w:trPr>
          <w:trHeight w:val="380" w:hRule="atLeast"/>
        </w:trPr>
        <w:tc>
          <w:tcPr>
            <w:tcW w:w="190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spacing w:before="28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New Zealand</w:t>
            </w:r>
          </w:p>
        </w:tc>
        <w:tc>
          <w:tcPr>
            <w:tcW w:w="1743" w:type="dxa"/>
          </w:tcPr>
          <w:p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sz w:val="20"/>
              </w:rPr>
              <w:t>Asia Pacific</w:t>
            </w:r>
          </w:p>
        </w:tc>
        <w:tc>
          <w:tcPr>
            <w:tcW w:w="1743" w:type="dxa"/>
          </w:tcPr>
          <w:p>
            <w:pPr>
              <w:pStyle w:val="TableParagraph"/>
              <w:spacing w:before="2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USA</w:t>
            </w:r>
          </w:p>
        </w:tc>
        <w:tc>
          <w:tcPr>
            <w:tcW w:w="1744" w:type="dxa"/>
          </w:tcPr>
          <w:p>
            <w:pPr>
              <w:pStyle w:val="TableParagraph"/>
              <w:spacing w:before="2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Europe</w:t>
            </w:r>
          </w:p>
        </w:tc>
      </w:tr>
      <w:tr>
        <w:trPr>
          <w:trHeight w:val="284" w:hRule="atLeast"/>
        </w:trPr>
        <w:tc>
          <w:tcPr>
            <w:tcW w:w="1908" w:type="dxa"/>
            <w:tcBorders>
              <w:bottom w:val="nil"/>
            </w:tcBorders>
          </w:tcPr>
          <w:p>
            <w:pPr>
              <w:pStyle w:val="TableParagraph"/>
              <w:spacing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>Tariff</w:t>
            </w:r>
          </w:p>
        </w:tc>
        <w:tc>
          <w:tcPr>
            <w:tcW w:w="1580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3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3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9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issue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434343"/>
                <w:sz w:val="20"/>
              </w:rPr>
              <w:t>$143.36</w:t>
            </w:r>
          </w:p>
        </w:tc>
        <w:tc>
          <w:tcPr>
            <w:tcW w:w="17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434343"/>
                <w:sz w:val="20"/>
              </w:rPr>
              <w:t>$149.86</w:t>
            </w:r>
          </w:p>
        </w:tc>
        <w:tc>
          <w:tcPr>
            <w:tcW w:w="17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434343"/>
                <w:sz w:val="20"/>
              </w:rPr>
              <w:t>$165.50</w:t>
            </w:r>
          </w:p>
        </w:tc>
        <w:tc>
          <w:tcPr>
            <w:tcW w:w="174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434343"/>
                <w:sz w:val="20"/>
              </w:rPr>
              <w:t>$173.36</w:t>
            </w:r>
          </w:p>
        </w:tc>
      </w:tr>
      <w:tr>
        <w:trPr>
          <w:trHeight w:val="284" w:hRule="atLeast"/>
        </w:trPr>
        <w:tc>
          <w:tcPr>
            <w:tcW w:w="19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Amendments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434343"/>
                <w:sz w:val="20"/>
              </w:rPr>
              <w:t>$29.73</w:t>
            </w:r>
          </w:p>
        </w:tc>
        <w:tc>
          <w:tcPr>
            <w:tcW w:w="17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$29.73</w:t>
            </w:r>
          </w:p>
        </w:tc>
        <w:tc>
          <w:tcPr>
            <w:tcW w:w="17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434343"/>
                <w:sz w:val="20"/>
              </w:rPr>
              <w:t>$29.73</w:t>
            </w:r>
          </w:p>
        </w:tc>
        <w:tc>
          <w:tcPr>
            <w:tcW w:w="174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434343"/>
                <w:sz w:val="20"/>
              </w:rPr>
              <w:t>$29.73</w:t>
            </w:r>
          </w:p>
        </w:tc>
      </w:tr>
      <w:tr>
        <w:trPr>
          <w:trHeight w:val="284" w:hRule="atLeast"/>
        </w:trPr>
        <w:tc>
          <w:tcPr>
            <w:tcW w:w="19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>TCOs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9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issue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434343"/>
                <w:sz w:val="20"/>
              </w:rPr>
              <w:t>$143.36</w:t>
            </w:r>
          </w:p>
        </w:tc>
        <w:tc>
          <w:tcPr>
            <w:tcW w:w="17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434343"/>
                <w:sz w:val="20"/>
              </w:rPr>
              <w:t>$149.86</w:t>
            </w:r>
          </w:p>
        </w:tc>
        <w:tc>
          <w:tcPr>
            <w:tcW w:w="17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434343"/>
                <w:sz w:val="20"/>
              </w:rPr>
              <w:t>$165.50</w:t>
            </w:r>
          </w:p>
        </w:tc>
        <w:tc>
          <w:tcPr>
            <w:tcW w:w="174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434343"/>
                <w:sz w:val="20"/>
              </w:rPr>
              <w:t>$173.36</w:t>
            </w:r>
          </w:p>
        </w:tc>
      </w:tr>
      <w:tr>
        <w:trPr>
          <w:trHeight w:val="283" w:hRule="atLeast"/>
        </w:trPr>
        <w:tc>
          <w:tcPr>
            <w:tcW w:w="19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Amendments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434343"/>
                <w:sz w:val="20"/>
              </w:rPr>
              <w:t>$115.90</w:t>
            </w:r>
          </w:p>
        </w:tc>
        <w:tc>
          <w:tcPr>
            <w:tcW w:w="17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434343"/>
                <w:sz w:val="20"/>
              </w:rPr>
              <w:t>$115.90</w:t>
            </w:r>
          </w:p>
        </w:tc>
        <w:tc>
          <w:tcPr>
            <w:tcW w:w="17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434343"/>
                <w:sz w:val="20"/>
              </w:rPr>
              <w:t>$115.90</w:t>
            </w:r>
          </w:p>
        </w:tc>
        <w:tc>
          <w:tcPr>
            <w:tcW w:w="174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434343"/>
                <w:sz w:val="20"/>
              </w:rPr>
              <w:t>$115.90</w:t>
            </w:r>
          </w:p>
        </w:tc>
      </w:tr>
      <w:tr>
        <w:trPr>
          <w:trHeight w:val="284" w:hRule="atLeast"/>
        </w:trPr>
        <w:tc>
          <w:tcPr>
            <w:tcW w:w="1908" w:type="dxa"/>
            <w:tcBorders>
              <w:top w:val="nil"/>
            </w:tcBorders>
          </w:tcPr>
          <w:p>
            <w:pPr>
              <w:pStyle w:val="TableParagraph"/>
              <w:spacing w:before="25"/>
              <w:rPr>
                <w:b/>
                <w:sz w:val="20"/>
              </w:rPr>
            </w:pPr>
            <w:r>
              <w:rPr>
                <w:b/>
                <w:sz w:val="20"/>
              </w:rPr>
              <w:t>ACN’s/ ACDN’s #</w:t>
            </w:r>
          </w:p>
        </w:tc>
        <w:tc>
          <w:tcPr>
            <w:tcW w:w="1580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106"/>
              <w:rPr>
                <w:sz w:val="20"/>
              </w:rPr>
            </w:pPr>
            <w:r>
              <w:rPr>
                <w:color w:val="434343"/>
                <w:sz w:val="20"/>
              </w:rPr>
              <w:t>$48.35</w:t>
            </w:r>
          </w:p>
        </w:tc>
        <w:tc>
          <w:tcPr>
            <w:tcW w:w="1743" w:type="dxa"/>
            <w:tcBorders>
              <w:top w:val="nil"/>
            </w:tcBorders>
          </w:tcPr>
          <w:p>
            <w:pPr>
              <w:pStyle w:val="TableParagraph"/>
              <w:spacing w:before="24"/>
              <w:rPr>
                <w:sz w:val="20"/>
              </w:rPr>
            </w:pPr>
            <w:r>
              <w:rPr>
                <w:color w:val="434343"/>
                <w:sz w:val="20"/>
              </w:rPr>
              <w:t>$48.35</w:t>
            </w:r>
          </w:p>
        </w:tc>
        <w:tc>
          <w:tcPr>
            <w:tcW w:w="1743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108"/>
              <w:rPr>
                <w:sz w:val="20"/>
              </w:rPr>
            </w:pPr>
            <w:r>
              <w:rPr>
                <w:color w:val="434343"/>
                <w:sz w:val="20"/>
              </w:rPr>
              <w:t>$48.35</w:t>
            </w:r>
          </w:p>
        </w:tc>
        <w:tc>
          <w:tcPr>
            <w:tcW w:w="1744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109"/>
              <w:rPr>
                <w:sz w:val="20"/>
              </w:rPr>
            </w:pPr>
            <w:r>
              <w:rPr>
                <w:color w:val="434343"/>
                <w:sz w:val="20"/>
              </w:rPr>
              <w:t>$48.35</w:t>
            </w:r>
          </w:p>
        </w:tc>
      </w:tr>
    </w:tbl>
    <w:p>
      <w:pPr>
        <w:pStyle w:val="BodyText"/>
        <w:ind w:left="1701"/>
      </w:pPr>
      <w:r>
        <w:rPr/>
        <w:t>^ Prices in $Aust, excludes GST and includes postage/handling.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1985"/>
      </w:pPr>
      <w:r>
        <w:rPr/>
        <w:t># An error in calculating the cost of printing ACN/ACDN’s in the last price review resulted in undercharging for this service. This new price covers the current cost of production and does not include any amount to recover the amount undercharged.</w:t>
      </w:r>
    </w:p>
    <w:p>
      <w:pPr>
        <w:pStyle w:val="BodyText"/>
        <w:ind w:left="1701"/>
      </w:pPr>
      <w:r>
        <w:rPr/>
        <w:t>Note: ACN’s/ACDN’s are available free of charge at </w:t>
      </w:r>
      <w:hyperlink r:id="rId6">
        <w:r>
          <w:rPr/>
          <w:t>http://www.customs.gov.au</w:t>
        </w:r>
      </w:hyperlink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2104"/>
      </w:pPr>
      <w:r>
        <w:rPr/>
        <w:t>Inquiries concerning this notice may be directed to the Publications Officer on telephone number (02) 6275 5721 or fax number (02) 6275 5731.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5"/>
        <w:ind w:left="1701" w:right="7962"/>
      </w:pPr>
      <w:r>
        <w:rPr/>
        <w:t>(Annwyn Godwin) National Manager Staffing Branch CANBERRA ACT</w:t>
      </w:r>
    </w:p>
    <w:p>
      <w:pPr>
        <w:pStyle w:val="BodyText"/>
        <w:spacing w:before="119"/>
        <w:ind w:left="1701"/>
      </w:pPr>
      <w:r>
        <w:rPr/>
        <w:t>30 June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205352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701"/>
      <w:outlineLvl w:val="1"/>
    </w:pPr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32"/>
      <w:ind w:left="1701" w:right="2104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3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customs.gov.au/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2004/26</dc:title>
  <dcterms:created xsi:type="dcterms:W3CDTF">2020-12-09T22:33:49Z</dcterms:created>
  <dcterms:modified xsi:type="dcterms:W3CDTF">2020-12-09T22:33:49Z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2004-07-05T00:00:00Z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