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9664">
            <wp:simplePos x="0" y="0"/>
            <wp:positionH relativeFrom="page">
              <wp:posOffset>51815</wp:posOffset>
            </wp:positionH>
            <wp:positionV relativeFrom="page">
              <wp:posOffset>571496</wp:posOffset>
            </wp:positionV>
            <wp:extent cx="7504683" cy="933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04683" cy="933450"/>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8"/>
        </w:rPr>
      </w:pPr>
    </w:p>
    <w:p>
      <w:pPr>
        <w:pStyle w:val="Title"/>
        <w:spacing w:after="19"/>
        <w:ind w:left="2884"/>
      </w:pPr>
      <w:r>
        <w:rPr/>
        <w:t>AUSTRALIAN CUSTOMS NOTICE NO. 2004/37</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r>
        <w:rPr/>
        <w:t>New Exports Regulations</w:t>
      </w:r>
    </w:p>
    <w:p>
      <w:pPr>
        <w:pStyle w:val="BodyText"/>
        <w:spacing w:before="1"/>
        <w:rPr>
          <w:b/>
          <w:sz w:val="25"/>
        </w:rPr>
      </w:pPr>
    </w:p>
    <w:p>
      <w:pPr>
        <w:pStyle w:val="BodyText"/>
        <w:ind w:left="1701" w:right="2197"/>
      </w:pPr>
      <w:r>
        <w:rPr/>
        <w:t>The purpose of this Australian Customs Notice is to advise industry of formalised reporting arrangements for goods intended for exportation and the departure of ships and aircraft.</w:t>
      </w:r>
    </w:p>
    <w:p>
      <w:pPr>
        <w:pStyle w:val="BodyText"/>
      </w:pPr>
    </w:p>
    <w:p>
      <w:pPr>
        <w:spacing w:before="0"/>
        <w:ind w:left="1701" w:right="1852" w:firstLine="0"/>
        <w:jc w:val="left"/>
        <w:rPr>
          <w:sz w:val="20"/>
        </w:rPr>
      </w:pPr>
      <w:r>
        <w:rPr>
          <w:sz w:val="20"/>
        </w:rPr>
        <w:t>A proclamation date has now been set. The items of the </w:t>
      </w:r>
      <w:r>
        <w:rPr>
          <w:i/>
          <w:sz w:val="20"/>
        </w:rPr>
        <w:t>Customs Legislation Amendment and Repeal (International Trade Modernisation) Act 2001 </w:t>
      </w:r>
      <w:r>
        <w:rPr>
          <w:sz w:val="20"/>
        </w:rPr>
        <w:t>(ITM) that will commence on</w:t>
      </w:r>
    </w:p>
    <w:p>
      <w:pPr>
        <w:pStyle w:val="BodyText"/>
        <w:spacing w:line="230" w:lineRule="exact"/>
        <w:ind w:left="1701"/>
      </w:pPr>
      <w:r>
        <w:rPr/>
        <w:t>22 September 2004 are:</w:t>
      </w:r>
    </w:p>
    <w:p>
      <w:pPr>
        <w:pStyle w:val="BodyText"/>
        <w:spacing w:before="11"/>
        <w:rPr>
          <w:sz w:val="19"/>
        </w:rPr>
      </w:pPr>
    </w:p>
    <w:p>
      <w:pPr>
        <w:pStyle w:val="BodyText"/>
        <w:tabs>
          <w:tab w:pos="2241" w:val="left" w:leader="none"/>
        </w:tabs>
        <w:ind w:left="1701"/>
      </w:pPr>
      <w:r>
        <w:rPr/>
        <w:t>(a)</w:t>
        <w:tab/>
        <w:t>item 1 of Schedule 2 of the ITM Act;</w:t>
      </w:r>
      <w:r>
        <w:rPr>
          <w:spacing w:val="-12"/>
        </w:rPr>
        <w:t> </w:t>
      </w:r>
      <w:r>
        <w:rPr/>
        <w:t>and</w:t>
      </w:r>
    </w:p>
    <w:p>
      <w:pPr>
        <w:pStyle w:val="BodyText"/>
        <w:tabs>
          <w:tab w:pos="2241" w:val="left" w:leader="none"/>
        </w:tabs>
        <w:ind w:left="1701"/>
      </w:pPr>
      <w:r>
        <w:rPr/>
        <w:t>(b)</w:t>
        <w:tab/>
        <w:t>items 1, 48, 48A, 50-53, 57-60, 62, 64, 66, 68, 72-74, 77, 83, 91, 93, 94, 96, 97, 97A,</w:t>
      </w:r>
      <w:r>
        <w:rPr>
          <w:spacing w:val="-35"/>
        </w:rPr>
        <w:t> </w:t>
      </w:r>
      <w:r>
        <w:rPr/>
        <w:t>100</w:t>
      </w:r>
    </w:p>
    <w:p>
      <w:pPr>
        <w:pStyle w:val="BodyText"/>
        <w:spacing w:before="1"/>
        <w:ind w:left="2241"/>
      </w:pPr>
      <w:r>
        <w:rPr/>
        <w:t>and 101 of Schedule 3 of the ITM Act.</w:t>
      </w:r>
    </w:p>
    <w:p>
      <w:pPr>
        <w:pStyle w:val="BodyText"/>
        <w:spacing w:before="11"/>
        <w:rPr>
          <w:sz w:val="19"/>
        </w:rPr>
      </w:pPr>
    </w:p>
    <w:p>
      <w:pPr>
        <w:pStyle w:val="BodyText"/>
        <w:ind w:left="1701"/>
      </w:pPr>
      <w:r>
        <w:rPr/>
        <w:t>The cut-over time will be 2am in the Australian Capital Territory on 6 October 2004.</w:t>
      </w:r>
    </w:p>
    <w:p>
      <w:pPr>
        <w:pStyle w:val="BodyText"/>
        <w:spacing w:before="11"/>
        <w:rPr>
          <w:sz w:val="19"/>
        </w:rPr>
      </w:pPr>
    </w:p>
    <w:p>
      <w:pPr>
        <w:pStyle w:val="BodyText"/>
        <w:ind w:left="1701" w:right="1729"/>
      </w:pPr>
      <w:r>
        <w:rPr/>
        <w:t>In addition, minor amendments to the </w:t>
      </w:r>
      <w:r>
        <w:rPr>
          <w:i/>
        </w:rPr>
        <w:t>Customs Regulations 1926 </w:t>
      </w:r>
      <w:r>
        <w:rPr/>
        <w:t>have been made in relation to the ITM, in particular the implementation of the exports components of the Integrated Cargo System (ICS).</w:t>
      </w:r>
    </w:p>
    <w:p>
      <w:pPr>
        <w:pStyle w:val="BodyText"/>
      </w:pPr>
    </w:p>
    <w:p>
      <w:pPr>
        <w:pStyle w:val="BodyText"/>
        <w:spacing w:before="1"/>
        <w:ind w:left="1701" w:right="1816"/>
        <w:jc w:val="both"/>
      </w:pPr>
      <w:r>
        <w:rPr/>
        <w:t>These amendments provide clarification on the rules set by the ITM, and industry consultation has contributed to that process. These changes are embedded in the ICS and will require little extra processing when using the system.</w:t>
      </w:r>
    </w:p>
    <w:p>
      <w:pPr>
        <w:pStyle w:val="BodyText"/>
        <w:spacing w:before="10"/>
        <w:rPr>
          <w:sz w:val="19"/>
        </w:rPr>
      </w:pPr>
    </w:p>
    <w:p>
      <w:pPr>
        <w:pStyle w:val="BodyText"/>
        <w:ind w:left="1701" w:right="1852"/>
      </w:pPr>
      <w:r>
        <w:rPr/>
        <w:t>The additional regulations come into force on 22 September 2004 and are required for goods intended for export on or after the cut-over time including:</w:t>
      </w:r>
    </w:p>
    <w:p>
      <w:pPr>
        <w:pStyle w:val="ListParagraph"/>
        <w:numPr>
          <w:ilvl w:val="0"/>
          <w:numId w:val="1"/>
        </w:numPr>
        <w:tabs>
          <w:tab w:pos="2241" w:val="left" w:leader="none"/>
          <w:tab w:pos="2242" w:val="left" w:leader="none"/>
        </w:tabs>
        <w:spacing w:line="230" w:lineRule="exact" w:before="1" w:after="0"/>
        <w:ind w:left="2241" w:right="0" w:hanging="421"/>
        <w:jc w:val="left"/>
        <w:rPr>
          <w:sz w:val="20"/>
        </w:rPr>
      </w:pPr>
      <w:r>
        <w:rPr>
          <w:sz w:val="20"/>
        </w:rPr>
        <w:t>entry of goods using export declarations or</w:t>
      </w:r>
      <w:r>
        <w:rPr>
          <w:spacing w:val="-10"/>
          <w:sz w:val="20"/>
        </w:rPr>
        <w:t> </w:t>
      </w:r>
      <w:r>
        <w:rPr>
          <w:sz w:val="20"/>
        </w:rPr>
        <w:t>ACEANs;</w:t>
      </w:r>
    </w:p>
    <w:p>
      <w:pPr>
        <w:pStyle w:val="ListParagraph"/>
        <w:numPr>
          <w:ilvl w:val="0"/>
          <w:numId w:val="1"/>
        </w:numPr>
        <w:tabs>
          <w:tab w:pos="2246" w:val="left" w:leader="none"/>
          <w:tab w:pos="2247" w:val="left" w:leader="none"/>
        </w:tabs>
        <w:spacing w:line="230" w:lineRule="exact" w:before="0" w:after="0"/>
        <w:ind w:left="2246" w:right="0" w:hanging="426"/>
        <w:jc w:val="left"/>
        <w:rPr>
          <w:sz w:val="20"/>
        </w:rPr>
      </w:pPr>
      <w:r>
        <w:rPr>
          <w:sz w:val="20"/>
        </w:rPr>
        <w:t>reporting export goods on manifests and</w:t>
      </w:r>
      <w:r>
        <w:rPr>
          <w:spacing w:val="-8"/>
          <w:sz w:val="20"/>
        </w:rPr>
        <w:t> </w:t>
      </w:r>
      <w:r>
        <w:rPr>
          <w:sz w:val="20"/>
        </w:rPr>
        <w:t>submanifests;</w:t>
      </w:r>
    </w:p>
    <w:p>
      <w:pPr>
        <w:pStyle w:val="ListParagraph"/>
        <w:numPr>
          <w:ilvl w:val="0"/>
          <w:numId w:val="1"/>
        </w:numPr>
        <w:tabs>
          <w:tab w:pos="2246" w:val="left" w:leader="none"/>
          <w:tab w:pos="2247" w:val="left" w:leader="none"/>
        </w:tabs>
        <w:spacing w:line="240" w:lineRule="auto" w:before="1" w:after="0"/>
        <w:ind w:left="2246" w:right="0" w:hanging="426"/>
        <w:jc w:val="left"/>
        <w:rPr>
          <w:sz w:val="20"/>
        </w:rPr>
      </w:pPr>
      <w:r>
        <w:rPr>
          <w:sz w:val="20"/>
        </w:rPr>
        <w:t>reporting goods on delivery to a wharf or airport;</w:t>
      </w:r>
      <w:r>
        <w:rPr>
          <w:spacing w:val="-9"/>
          <w:sz w:val="20"/>
        </w:rPr>
        <w:t> </w:t>
      </w:r>
      <w:r>
        <w:rPr>
          <w:sz w:val="20"/>
        </w:rPr>
        <w:t>and</w:t>
      </w:r>
    </w:p>
    <w:p>
      <w:pPr>
        <w:pStyle w:val="ListParagraph"/>
        <w:numPr>
          <w:ilvl w:val="0"/>
          <w:numId w:val="1"/>
        </w:numPr>
        <w:tabs>
          <w:tab w:pos="2246" w:val="left" w:leader="none"/>
          <w:tab w:pos="2247" w:val="left" w:leader="none"/>
        </w:tabs>
        <w:spacing w:line="240" w:lineRule="auto" w:before="0" w:after="0"/>
        <w:ind w:left="2246" w:right="0" w:hanging="426"/>
        <w:jc w:val="left"/>
        <w:rPr>
          <w:sz w:val="20"/>
        </w:rPr>
      </w:pPr>
      <w:r>
        <w:rPr>
          <w:sz w:val="20"/>
        </w:rPr>
        <w:t>reporting movements and consolidations of prescribed warehoused goods for</w:t>
      </w:r>
      <w:r>
        <w:rPr>
          <w:spacing w:val="-11"/>
          <w:sz w:val="20"/>
        </w:rPr>
        <w:t> </w:t>
      </w:r>
      <w:r>
        <w:rPr>
          <w:sz w:val="20"/>
        </w:rPr>
        <w:t>export.</w:t>
      </w:r>
    </w:p>
    <w:p>
      <w:pPr>
        <w:pStyle w:val="BodyText"/>
      </w:pPr>
    </w:p>
    <w:p>
      <w:pPr>
        <w:pStyle w:val="BodyText"/>
        <w:ind w:left="1701" w:right="2097"/>
      </w:pPr>
      <w:r>
        <w:rPr/>
        <w:t>Also, the departure of ships and aircraft on or after the cut-over time will be subject to minor regulation changes for certificates of clearance.</w:t>
      </w:r>
    </w:p>
    <w:p>
      <w:pPr>
        <w:pStyle w:val="BodyText"/>
      </w:pPr>
    </w:p>
    <w:p>
      <w:pPr>
        <w:pStyle w:val="BodyText"/>
        <w:ind w:left="1701" w:right="1786"/>
      </w:pPr>
      <w:r>
        <w:rPr/>
        <w:t>Information concerning the implementation of the Integrated Cargo System is at Customs CMR website </w:t>
      </w:r>
      <w:hyperlink r:id="rId6">
        <w:r>
          <w:rPr>
            <w:color w:val="0000FF"/>
            <w:u w:val="single" w:color="0000FF"/>
          </w:rPr>
          <w:t>www.customs.gov.au</w:t>
        </w:r>
        <w:r>
          <w:rPr>
            <w:color w:val="0000FF"/>
          </w:rPr>
          <w:t> </w:t>
        </w:r>
      </w:hyperlink>
      <w:r>
        <w:rPr/>
        <w:t>via Cargo Management Re-engineering.</w:t>
      </w:r>
    </w:p>
    <w:p>
      <w:pPr>
        <w:pStyle w:val="BodyText"/>
      </w:pPr>
    </w:p>
    <w:p>
      <w:pPr>
        <w:pStyle w:val="BodyText"/>
        <w:ind w:left="1701" w:right="2197"/>
      </w:pPr>
      <w:r>
        <w:rPr/>
        <w:t>Inquiries concerning this notice may be directed to Manager CMR Transition on telephone number (02) 6275 5977 or fax number (02) 6275 6601.</w:t>
      </w:r>
    </w:p>
    <w:p>
      <w:pPr>
        <w:pStyle w:val="BodyText"/>
        <w:rPr>
          <w:sz w:val="22"/>
        </w:rPr>
      </w:pPr>
    </w:p>
    <w:p>
      <w:pPr>
        <w:pStyle w:val="BodyText"/>
        <w:rPr>
          <w:sz w:val="22"/>
        </w:rPr>
      </w:pPr>
    </w:p>
    <w:p>
      <w:pPr>
        <w:pStyle w:val="BodyText"/>
        <w:rPr>
          <w:sz w:val="22"/>
        </w:rPr>
      </w:pPr>
    </w:p>
    <w:p>
      <w:pPr>
        <w:pStyle w:val="BodyText"/>
        <w:spacing w:before="161"/>
        <w:ind w:left="1701" w:right="8544"/>
      </w:pPr>
      <w:r>
        <w:rPr/>
        <w:t>Philomena Carnell National Manager Cargo Branch CANBERRA ACT</w:t>
      </w:r>
    </w:p>
    <w:p>
      <w:pPr>
        <w:pStyle w:val="BodyText"/>
        <w:spacing w:before="119"/>
        <w:ind w:left="1978"/>
      </w:pPr>
      <w:r>
        <w:rPr/>
        <w:t>August 2004</w:t>
      </w: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2"/>
        </w:rPr>
      </w:pPr>
      <w:r>
        <w:rPr/>
        <w:drawing>
          <wp:anchor distT="0" distB="0" distL="0" distR="0" allowOverlap="1" layoutInCell="1" locked="0" behindDoc="0" simplePos="0" relativeHeight="1">
            <wp:simplePos x="0" y="0"/>
            <wp:positionH relativeFrom="page">
              <wp:posOffset>5642609</wp:posOffset>
            </wp:positionH>
            <wp:positionV relativeFrom="paragraph">
              <wp:posOffset>116758</wp:posOffset>
            </wp:positionV>
            <wp:extent cx="1623015" cy="12382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23015" cy="123825"/>
                    </a:xfrm>
                    <a:prstGeom prst="rect">
                      <a:avLst/>
                    </a:prstGeom>
                  </pic:spPr>
                </pic:pic>
              </a:graphicData>
            </a:graphic>
          </wp:anchor>
        </w:drawing>
      </w:r>
    </w:p>
    <w:sectPr>
      <w:type w:val="continuous"/>
      <w:pgSz w:w="11900" w:h="16840"/>
      <w:pgMar w:top="9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420"/>
      </w:pPr>
      <w:rPr>
        <w:rFonts w:hint="default" w:ascii="Arial" w:hAnsi="Arial" w:eastAsia="Arial" w:cs="Arial"/>
        <w:w w:val="75"/>
        <w:sz w:val="20"/>
        <w:szCs w:val="20"/>
      </w:rPr>
    </w:lvl>
    <w:lvl w:ilvl="1">
      <w:start w:val="0"/>
      <w:numFmt w:val="bullet"/>
      <w:lvlText w:val="•"/>
      <w:lvlJc w:val="left"/>
      <w:pPr>
        <w:ind w:left="3206" w:hanging="420"/>
      </w:pPr>
      <w:rPr>
        <w:rFonts w:hint="default"/>
      </w:rPr>
    </w:lvl>
    <w:lvl w:ilvl="2">
      <w:start w:val="0"/>
      <w:numFmt w:val="bullet"/>
      <w:lvlText w:val="•"/>
      <w:lvlJc w:val="left"/>
      <w:pPr>
        <w:ind w:left="4172" w:hanging="420"/>
      </w:pPr>
      <w:rPr>
        <w:rFonts w:hint="default"/>
      </w:rPr>
    </w:lvl>
    <w:lvl w:ilvl="3">
      <w:start w:val="0"/>
      <w:numFmt w:val="bullet"/>
      <w:lvlText w:val="•"/>
      <w:lvlJc w:val="left"/>
      <w:pPr>
        <w:ind w:left="5138" w:hanging="420"/>
      </w:pPr>
      <w:rPr>
        <w:rFonts w:hint="default"/>
      </w:rPr>
    </w:lvl>
    <w:lvl w:ilvl="4">
      <w:start w:val="0"/>
      <w:numFmt w:val="bullet"/>
      <w:lvlText w:val="•"/>
      <w:lvlJc w:val="left"/>
      <w:pPr>
        <w:ind w:left="6104" w:hanging="420"/>
      </w:pPr>
      <w:rPr>
        <w:rFonts w:hint="default"/>
      </w:rPr>
    </w:lvl>
    <w:lvl w:ilvl="5">
      <w:start w:val="0"/>
      <w:numFmt w:val="bullet"/>
      <w:lvlText w:val="•"/>
      <w:lvlJc w:val="left"/>
      <w:pPr>
        <w:ind w:left="7070" w:hanging="420"/>
      </w:pPr>
      <w:rPr>
        <w:rFonts w:hint="default"/>
      </w:rPr>
    </w:lvl>
    <w:lvl w:ilvl="6">
      <w:start w:val="0"/>
      <w:numFmt w:val="bullet"/>
      <w:lvlText w:val="•"/>
      <w:lvlJc w:val="left"/>
      <w:pPr>
        <w:ind w:left="8036" w:hanging="420"/>
      </w:pPr>
      <w:rPr>
        <w:rFonts w:hint="default"/>
      </w:rPr>
    </w:lvl>
    <w:lvl w:ilvl="7">
      <w:start w:val="0"/>
      <w:numFmt w:val="bullet"/>
      <w:lvlText w:val="•"/>
      <w:lvlJc w:val="left"/>
      <w:pPr>
        <w:ind w:left="9002" w:hanging="420"/>
      </w:pPr>
      <w:rPr>
        <w:rFonts w:hint="default"/>
      </w:rPr>
    </w:lvl>
    <w:lvl w:ilvl="8">
      <w:start w:val="0"/>
      <w:numFmt w:val="bullet"/>
      <w:lvlText w:val="•"/>
      <w:lvlJc w:val="left"/>
      <w:pPr>
        <w:ind w:left="9968" w:hanging="42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1"/>
      <w:ind w:left="2881" w:right="2876"/>
      <w:jc w:val="center"/>
    </w:pPr>
    <w:rPr>
      <w:rFonts w:ascii="Arial" w:hAnsi="Arial" w:eastAsia="Arial" w:cs="Arial"/>
      <w:b/>
      <w:bCs/>
      <w:sz w:val="28"/>
      <w:szCs w:val="28"/>
    </w:rPr>
  </w:style>
  <w:style w:styleId="ListParagraph" w:type="paragraph">
    <w:name w:val="List Paragraph"/>
    <w:basedOn w:val="Normal"/>
    <w:uiPriority w:val="1"/>
    <w:qFormat/>
    <w:pPr>
      <w:ind w:left="2246" w:hanging="426"/>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customs.gov.au/" TargetMode="External"/><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Customs Notice 2004/37</dc:title>
  <dcterms:created xsi:type="dcterms:W3CDTF">2020-12-09T22:15:41Z</dcterms:created>
  <dcterms:modified xsi:type="dcterms:W3CDTF">2020-12-09T22:15:41Z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Creator">
    <vt:lpwstr>PScript5.dll Version 5.2</vt:lpwstr>
  </property>
  <property fmtid="{D5CDD505-2E9C-101B-9397-08002B2CF9AE}" pid="4" name="LastSaved">
    <vt:filetime>2020-12-09T00:00:00Z</vt:filetime>
  </property>
</Properties>
</file>